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BA9" w:rsidRDefault="000E036F">
      <w:pPr>
        <w:pStyle w:val="ConsPlusNormal"/>
        <w:jc w:val="both"/>
      </w:pPr>
      <w:r>
        <w:t>Проект</w:t>
      </w:r>
    </w:p>
    <w:p w:rsidR="007D4BA9" w:rsidRDefault="007D4BA9">
      <w:pPr>
        <w:pStyle w:val="ConsPlusNormal"/>
        <w:jc w:val="right"/>
        <w:outlineLvl w:val="0"/>
      </w:pPr>
      <w:r>
        <w:t>Приложение</w:t>
      </w:r>
    </w:p>
    <w:p w:rsidR="007D4BA9" w:rsidRDefault="007D4BA9">
      <w:pPr>
        <w:pStyle w:val="ConsPlusNormal"/>
        <w:jc w:val="right"/>
      </w:pPr>
      <w:r>
        <w:t>к решению</w:t>
      </w:r>
    </w:p>
    <w:p w:rsidR="007D4BA9" w:rsidRDefault="000E036F">
      <w:pPr>
        <w:pStyle w:val="ConsPlusNormal"/>
        <w:jc w:val="right"/>
      </w:pPr>
      <w:r>
        <w:t>Нижнекамского г</w:t>
      </w:r>
      <w:r w:rsidR="007D4BA9">
        <w:t>ородского Совета</w:t>
      </w:r>
    </w:p>
    <w:p w:rsidR="007D4BA9" w:rsidRDefault="007D4BA9">
      <w:pPr>
        <w:pStyle w:val="ConsPlusNormal"/>
        <w:jc w:val="right"/>
      </w:pPr>
      <w:r>
        <w:t xml:space="preserve">от </w:t>
      </w:r>
      <w:r w:rsidR="00C2309D">
        <w:t>_____</w:t>
      </w:r>
      <w:r>
        <w:t xml:space="preserve"> 202</w:t>
      </w:r>
      <w:r w:rsidR="00C2309D">
        <w:t>3</w:t>
      </w:r>
      <w:r>
        <w:t xml:space="preserve"> года </w:t>
      </w:r>
      <w:r w:rsidR="00C2309D">
        <w:t>№</w:t>
      </w:r>
      <w:r>
        <w:t xml:space="preserve"> </w:t>
      </w:r>
      <w:r w:rsidR="00C2309D">
        <w:t>____</w:t>
      </w:r>
    </w:p>
    <w:p w:rsidR="007D4BA9" w:rsidRDefault="007D4BA9">
      <w:pPr>
        <w:pStyle w:val="ConsPlusNormal"/>
        <w:jc w:val="both"/>
      </w:pPr>
    </w:p>
    <w:p w:rsidR="007D4BA9" w:rsidRDefault="007D4BA9">
      <w:pPr>
        <w:pStyle w:val="ConsPlusTitle"/>
        <w:jc w:val="center"/>
      </w:pPr>
      <w:bookmarkStart w:id="0" w:name="P28"/>
      <w:bookmarkEnd w:id="0"/>
      <w:r>
        <w:t>МЕСТНЫЕ НОРМАТИВЫ</w:t>
      </w:r>
    </w:p>
    <w:p w:rsidR="007D4BA9" w:rsidRDefault="007D4BA9">
      <w:pPr>
        <w:pStyle w:val="ConsPlusTitle"/>
        <w:jc w:val="center"/>
      </w:pPr>
      <w:r>
        <w:t>ГРАДОСТРОИТЕЛЬНОГО ПРОЕКТИРОВАНИЯ МУНИЦИПАЛЬНОГО</w:t>
      </w:r>
    </w:p>
    <w:p w:rsidR="007D4BA9" w:rsidRDefault="007D4BA9">
      <w:pPr>
        <w:pStyle w:val="ConsPlusTitle"/>
        <w:jc w:val="center"/>
      </w:pPr>
      <w:r>
        <w:t xml:space="preserve">ОБРАЗОВАНИЯ ГОРОД </w:t>
      </w:r>
      <w:r w:rsidR="000B30E9">
        <w:t>НИЖНЕКАМСК</w:t>
      </w:r>
    </w:p>
    <w:p w:rsidR="007D4BA9" w:rsidRDefault="007D4BA9">
      <w:pPr>
        <w:pStyle w:val="ConsPlusNormal"/>
        <w:jc w:val="both"/>
      </w:pPr>
    </w:p>
    <w:p w:rsidR="007D4BA9" w:rsidRDefault="007D4BA9">
      <w:pPr>
        <w:pStyle w:val="ConsPlusTitle"/>
        <w:jc w:val="center"/>
        <w:outlineLvl w:val="1"/>
      </w:pPr>
      <w:r>
        <w:t>Раздел I. ОБЩАЯ ЧАСТЬ</w:t>
      </w:r>
    </w:p>
    <w:p w:rsidR="007D4BA9" w:rsidRDefault="007D4BA9">
      <w:pPr>
        <w:pStyle w:val="ConsPlusNormal"/>
        <w:jc w:val="both"/>
      </w:pPr>
    </w:p>
    <w:p w:rsidR="007D4BA9" w:rsidRDefault="007D4BA9">
      <w:pPr>
        <w:pStyle w:val="ConsPlusNormal"/>
        <w:ind w:firstLine="540"/>
        <w:jc w:val="both"/>
      </w:pPr>
      <w:r>
        <w:t xml:space="preserve">Настоящие Местные нормативы градостроительного проектирования муниципального образования город </w:t>
      </w:r>
      <w:r w:rsidR="000B30E9">
        <w:t>Нижнекамск</w:t>
      </w:r>
      <w:r>
        <w:t xml:space="preserve"> (далее - Местные нормативы) разработаны в соответствии с Федеральным </w:t>
      </w:r>
      <w:hyperlink r:id="rId4">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Градостроительным </w:t>
      </w:r>
      <w:hyperlink r:id="rId5">
        <w:r>
          <w:rPr>
            <w:color w:val="0000FF"/>
          </w:rPr>
          <w:t>кодексом</w:t>
        </w:r>
      </w:hyperlink>
      <w:r>
        <w:t xml:space="preserve"> Российской Федерации, </w:t>
      </w:r>
      <w:hyperlink r:id="rId6">
        <w:r>
          <w:rPr>
            <w:color w:val="0000FF"/>
          </w:rPr>
          <w:t>Законом</w:t>
        </w:r>
      </w:hyperlink>
      <w:r>
        <w:t xml:space="preserve"> Республики Татарстан от 25 декабря 2010 года N 98-ЗРТ "О градостроительной деятельности в Республике Татарстан", </w:t>
      </w:r>
      <w:hyperlink r:id="rId7">
        <w:r>
          <w:rPr>
            <w:color w:val="0000FF"/>
          </w:rPr>
          <w:t>Положением</w:t>
        </w:r>
      </w:hyperlink>
      <w:r>
        <w:t xml:space="preserve"> о порядке подготовки, утверждения местных нормативов градостроительного проектирования муниципального образования город </w:t>
      </w:r>
      <w:r w:rsidR="000B30E9">
        <w:t>Нижнекамск</w:t>
      </w:r>
      <w:r>
        <w:t xml:space="preserve"> и внесения в них изменений, утвержденным Решением </w:t>
      </w:r>
      <w:r w:rsidR="00DA1BD6">
        <w:t>Нижнекамского г</w:t>
      </w:r>
      <w:r>
        <w:t xml:space="preserve">ородского Совета от </w:t>
      </w:r>
      <w:r w:rsidR="00DA1BD6">
        <w:t>31</w:t>
      </w:r>
      <w:r>
        <w:t>.</w:t>
      </w:r>
      <w:r w:rsidR="00DA1BD6">
        <w:t>07</w:t>
      </w:r>
      <w:r>
        <w:t xml:space="preserve">.2017 </w:t>
      </w:r>
      <w:r w:rsidR="00DA1BD6">
        <w:t>№41</w:t>
      </w:r>
      <w:r>
        <w:t>, в целях обеспечения устойчивого развития территорий при осуществлении градостроительной деятельности путем создания благоприятных условий жизнедеятельности человека, ограничения негативного воздействия хозяйственной и иной деятельности на окружающую среду, сохранения природных ресурсов.</w:t>
      </w:r>
    </w:p>
    <w:p w:rsidR="007D4BA9" w:rsidRDefault="007D4BA9">
      <w:pPr>
        <w:pStyle w:val="ConsPlusNormal"/>
        <w:jc w:val="both"/>
      </w:pPr>
    </w:p>
    <w:p w:rsidR="007D4BA9" w:rsidRDefault="007D4BA9">
      <w:pPr>
        <w:pStyle w:val="ConsPlusTitle"/>
        <w:jc w:val="center"/>
        <w:outlineLvl w:val="2"/>
      </w:pPr>
      <w:r>
        <w:t>Глава 1. ОБЩИЕ ПОЛОЖЕНИЯ</w:t>
      </w:r>
    </w:p>
    <w:p w:rsidR="007D4BA9" w:rsidRDefault="007D4BA9">
      <w:pPr>
        <w:pStyle w:val="ConsPlusNormal"/>
        <w:jc w:val="both"/>
      </w:pPr>
    </w:p>
    <w:p w:rsidR="007D4BA9" w:rsidRDefault="007D4BA9">
      <w:pPr>
        <w:pStyle w:val="ConsPlusNormal"/>
        <w:ind w:firstLine="540"/>
        <w:jc w:val="both"/>
      </w:pPr>
      <w:r>
        <w:t xml:space="preserve">1. Местные нормативы устанавливают совокупность расчетных показателей минимально допустимого уровня обеспеченности населения объектами местного значения муниципального образования город </w:t>
      </w:r>
      <w:r w:rsidR="000B30E9">
        <w:t>Нижнекамск</w:t>
      </w:r>
      <w:r>
        <w:t xml:space="preserve"> (далее - город </w:t>
      </w:r>
      <w:r w:rsidR="000B30E9">
        <w:t>Нижнекамск</w:t>
      </w:r>
      <w:r>
        <w:t>) и расчетных показателей максимально допустимого уровня территориальной доступности таких объектов для населения.</w:t>
      </w:r>
    </w:p>
    <w:p w:rsidR="007D4BA9" w:rsidRDefault="007D4BA9">
      <w:pPr>
        <w:pStyle w:val="ConsPlusNormal"/>
        <w:spacing w:before="220"/>
        <w:ind w:firstLine="540"/>
        <w:jc w:val="both"/>
      </w:pPr>
      <w:r>
        <w:t xml:space="preserve">2. Расчетные показатели учитывают сложившуюся функционально-планировочную структуру города </w:t>
      </w:r>
      <w:r w:rsidR="000B30E9">
        <w:t>Нижнекамск</w:t>
      </w:r>
      <w:r>
        <w:t xml:space="preserve"> и типологию застройки, основаны на результатах натурного обследования территории и перспективного развития застройки.</w:t>
      </w:r>
    </w:p>
    <w:p w:rsidR="007D4BA9" w:rsidRDefault="007D4BA9">
      <w:pPr>
        <w:pStyle w:val="ConsPlusNormal"/>
        <w:spacing w:before="220"/>
        <w:ind w:firstLine="540"/>
        <w:jc w:val="both"/>
      </w:pPr>
      <w:r>
        <w:t xml:space="preserve">3. Местные нормативы разработаны в целях создания благоприятных условий жизнедеятельности населения города </w:t>
      </w:r>
      <w:r w:rsidR="000B30E9">
        <w:t>Нижнекамск</w:t>
      </w:r>
      <w:r>
        <w:t xml:space="preserve"> путем обеспечения комплексности застройки транспортной, инженерной, социальной инфраструктуры, территориями общего пользования, объектами коммунально-бытового назначения и благоустройства территории, а также в соответствии с принципом доступности вышеуказанных объектов и инфраструктур для населения, в том числе маломобильных групп населения.</w:t>
      </w:r>
    </w:p>
    <w:p w:rsidR="007D4BA9" w:rsidRDefault="007D4BA9">
      <w:pPr>
        <w:pStyle w:val="ConsPlusNormal"/>
        <w:spacing w:before="220"/>
        <w:ind w:firstLine="540"/>
        <w:jc w:val="both"/>
      </w:pPr>
      <w:r>
        <w:t>4. Местные нормативы включают в себя:</w:t>
      </w:r>
    </w:p>
    <w:p w:rsidR="007D4BA9" w:rsidRDefault="007D4BA9">
      <w:pPr>
        <w:pStyle w:val="ConsPlusNormal"/>
        <w:spacing w:before="220"/>
        <w:ind w:firstLine="540"/>
        <w:jc w:val="both"/>
      </w:pPr>
      <w:r>
        <w:t>1) общую часть;</w:t>
      </w:r>
    </w:p>
    <w:p w:rsidR="007D4BA9" w:rsidRDefault="007D4BA9">
      <w:pPr>
        <w:pStyle w:val="ConsPlusNormal"/>
        <w:spacing w:before="220"/>
        <w:ind w:firstLine="540"/>
        <w:jc w:val="both"/>
      </w:pPr>
      <w:r>
        <w:t>2) расчетные показатели и требования к размещению объектов местного значения и иных объектов градостроительного нормирования;</w:t>
      </w:r>
    </w:p>
    <w:p w:rsidR="007D4BA9" w:rsidRDefault="007D4BA9">
      <w:pPr>
        <w:pStyle w:val="ConsPlusNormal"/>
        <w:spacing w:before="220"/>
        <w:ind w:firstLine="540"/>
        <w:jc w:val="both"/>
      </w:pPr>
      <w:r>
        <w:t>3) материалы по обоснованию расчетных показателей, содержащихся в общей части нормативов градостроительного проектирования;</w:t>
      </w:r>
    </w:p>
    <w:p w:rsidR="007D4BA9" w:rsidRDefault="007D4BA9">
      <w:pPr>
        <w:pStyle w:val="ConsPlusNormal"/>
        <w:spacing w:before="220"/>
        <w:ind w:firstLine="540"/>
        <w:jc w:val="both"/>
      </w:pPr>
      <w:r>
        <w:t>4) правила и область применения расчетных показателей, содержащихся в общей части нормативов градостроительного проектирования.</w:t>
      </w:r>
    </w:p>
    <w:p w:rsidR="007D4BA9" w:rsidRDefault="007D4BA9">
      <w:pPr>
        <w:pStyle w:val="ConsPlusNormal"/>
        <w:jc w:val="both"/>
      </w:pPr>
    </w:p>
    <w:p w:rsidR="007D4BA9" w:rsidRDefault="007D4BA9">
      <w:pPr>
        <w:pStyle w:val="ConsPlusTitle"/>
        <w:jc w:val="center"/>
        <w:outlineLvl w:val="2"/>
      </w:pPr>
      <w:r>
        <w:t>Глава 2. ПОНЯТИЯ И ОПРЕДЕЛЕНИЯ</w:t>
      </w:r>
    </w:p>
    <w:p w:rsidR="007D4BA9" w:rsidRDefault="007D4BA9">
      <w:pPr>
        <w:pStyle w:val="ConsPlusNormal"/>
        <w:jc w:val="both"/>
      </w:pPr>
    </w:p>
    <w:p w:rsidR="007D4BA9" w:rsidRDefault="007D4BA9">
      <w:pPr>
        <w:pStyle w:val="ConsPlusNormal"/>
        <w:ind w:firstLine="540"/>
        <w:jc w:val="both"/>
      </w:pPr>
      <w:r>
        <w:t>5. В Местных нормативах используются следующие понятия и определения:</w:t>
      </w:r>
    </w:p>
    <w:p w:rsidR="007D4BA9" w:rsidRDefault="007D4BA9">
      <w:pPr>
        <w:pStyle w:val="ConsPlusNormal"/>
        <w:spacing w:before="220"/>
        <w:ind w:firstLine="540"/>
        <w:jc w:val="both"/>
      </w:pPr>
      <w:r>
        <w:t>1) автономная система питьевого водоснабжения - устройства и сооружения, предназначенные для забора, подготовки (или без подготовки) питьевой воды с подачей (или без подачи) ее к местам потребления, находящиеся в пользовании физических лиц и закрытые для общего пользования;</w:t>
      </w:r>
    </w:p>
    <w:p w:rsidR="007D4BA9" w:rsidRDefault="007D4BA9">
      <w:pPr>
        <w:pStyle w:val="ConsPlusNormal"/>
        <w:spacing w:before="220"/>
        <w:ind w:firstLine="540"/>
        <w:jc w:val="both"/>
      </w:pPr>
      <w:r>
        <w:t xml:space="preserve">2) благоустройство - комплекс мероприятий по содержанию территории города </w:t>
      </w:r>
      <w:r w:rsidR="000B30E9">
        <w:t>Нижнекамск</w:t>
      </w:r>
      <w:r>
        <w:t>,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7D4BA9" w:rsidRDefault="007D4BA9">
      <w:pPr>
        <w:pStyle w:val="ConsPlusNormal"/>
        <w:spacing w:before="220"/>
        <w:ind w:firstLine="540"/>
        <w:jc w:val="both"/>
      </w:pPr>
      <w:r>
        <w:t xml:space="preserve">3) велосипедная дорожка - отдельная дорога (отделенный конструктивно от проезжей части и тротуара и размеченный элемент дороги), предназначенная для движения </w:t>
      </w:r>
      <w:proofErr w:type="spellStart"/>
      <w:r>
        <w:t>велотранспортных</w:t>
      </w:r>
      <w:proofErr w:type="spellEnd"/>
      <w:r>
        <w:t xml:space="preserve"> средств, двигающихся не выше установленной скорости. Велосипедная дорожка должна быть оборудована знаками и табличками в соответствии с </w:t>
      </w:r>
      <w:hyperlink r:id="rId8">
        <w:r>
          <w:rPr>
            <w:color w:val="0000FF"/>
          </w:rPr>
          <w:t>Правилами</w:t>
        </w:r>
      </w:hyperlink>
      <w:r>
        <w:t xml:space="preserve"> дорожного движения;</w:t>
      </w:r>
    </w:p>
    <w:p w:rsidR="007D4BA9" w:rsidRDefault="007D4BA9">
      <w:pPr>
        <w:pStyle w:val="ConsPlusNormal"/>
        <w:spacing w:before="220"/>
        <w:ind w:firstLine="540"/>
        <w:jc w:val="both"/>
      </w:pPr>
      <w:r>
        <w:t>4) водоотведение - прием, транспортировка и очистка сточных вод с использованием централизованной системы водоотведения;</w:t>
      </w:r>
    </w:p>
    <w:p w:rsidR="007D4BA9" w:rsidRDefault="007D4BA9">
      <w:pPr>
        <w:pStyle w:val="ConsPlusNormal"/>
        <w:spacing w:before="220"/>
        <w:ind w:firstLine="540"/>
        <w:jc w:val="both"/>
      </w:pPr>
      <w:r>
        <w:t>5) водопровод - комплекс сооружений, включающий водозабор, водопроводные насосные станции, станцию очистки воды или водоподготовки, водопроводную сеть и резервуары для обеспечения потребителей водой определенного качества;</w:t>
      </w:r>
    </w:p>
    <w:p w:rsidR="007D4BA9" w:rsidRDefault="007D4BA9">
      <w:pPr>
        <w:pStyle w:val="ConsPlusNormal"/>
        <w:spacing w:before="220"/>
        <w:ind w:firstLine="540"/>
        <w:jc w:val="both"/>
      </w:pPr>
      <w:r>
        <w:t>6) воздушная линия электропередачи - линия связи, обслуживающая электрическую сеть, размещаемая на обособленных земельных участках, отнесенных в установленном порядке к землям промышленности и иного специального назначения или землям поселений, предназначенных для установки опор указанных линий;</w:t>
      </w:r>
    </w:p>
    <w:p w:rsidR="007D4BA9" w:rsidRDefault="007D4BA9">
      <w:pPr>
        <w:pStyle w:val="ConsPlusNormal"/>
        <w:spacing w:before="220"/>
        <w:ind w:firstLine="540"/>
        <w:jc w:val="both"/>
      </w:pPr>
      <w:r>
        <w:t>7) газопровод - конструкция, состоящая из соединенных между собой труб, предназначенная для транспортирования природного газа;</w:t>
      </w:r>
    </w:p>
    <w:p w:rsidR="007D4BA9" w:rsidRDefault="007D4BA9">
      <w:pPr>
        <w:pStyle w:val="ConsPlusNormal"/>
        <w:spacing w:before="220"/>
        <w:ind w:firstLine="540"/>
        <w:jc w:val="both"/>
      </w:pPr>
      <w:r>
        <w:t>8) городская среда - совокупность экологических, социально-культурных и других условий, в которых обитает городской житель и которые определяют комфортность его проживания на данной территории;</w:t>
      </w:r>
    </w:p>
    <w:p w:rsidR="007D4BA9" w:rsidRDefault="007D4BA9">
      <w:pPr>
        <w:pStyle w:val="ConsPlusNormal"/>
        <w:spacing w:before="220"/>
        <w:ind w:firstLine="540"/>
        <w:jc w:val="both"/>
      </w:pPr>
      <w:r>
        <w:t xml:space="preserve">9) гостевые стоянки - открытые площадки, предназначенные для </w:t>
      </w:r>
      <w:proofErr w:type="spellStart"/>
      <w:r>
        <w:t>паркирования</w:t>
      </w:r>
      <w:proofErr w:type="spellEnd"/>
      <w:r>
        <w:t xml:space="preserve"> легковых автомобилей посетителей жилой застройки;</w:t>
      </w:r>
    </w:p>
    <w:p w:rsidR="007D4BA9" w:rsidRDefault="007D4BA9">
      <w:pPr>
        <w:pStyle w:val="ConsPlusNormal"/>
        <w:spacing w:before="220"/>
        <w:ind w:firstLine="540"/>
        <w:jc w:val="both"/>
      </w:pPr>
      <w:r>
        <w:t>10) инженерная, транспортная и социальная инфраструктуры - комплекс сооружений и коммуникаций транспорта, связи, инженерного оборудования,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7D4BA9" w:rsidRDefault="007D4BA9">
      <w:pPr>
        <w:pStyle w:val="ConsPlusNormal"/>
        <w:spacing w:before="220"/>
        <w:ind w:firstLine="540"/>
        <w:jc w:val="both"/>
      </w:pPr>
      <w:r>
        <w:t>11) кабельная линия электропередачи - линия электропередачи, выполненная одним кабелем или несколькими кабелями, уложенными непосредственно в землю, кабельные каналы, трубы, кабельные конструкции;</w:t>
      </w:r>
    </w:p>
    <w:p w:rsidR="007D4BA9" w:rsidRDefault="007D4BA9">
      <w:pPr>
        <w:pStyle w:val="ConsPlusNormal"/>
        <w:spacing w:before="220"/>
        <w:ind w:firstLine="540"/>
        <w:jc w:val="both"/>
      </w:pPr>
      <w:r>
        <w:t>12) канализация - отведение бытовых, промышленных и ливневых сточных вод;</w:t>
      </w:r>
    </w:p>
    <w:p w:rsidR="007D4BA9" w:rsidRDefault="007D4BA9">
      <w:pPr>
        <w:pStyle w:val="ConsPlusNormal"/>
        <w:spacing w:before="220"/>
        <w:ind w:firstLine="540"/>
        <w:jc w:val="both"/>
      </w:pPr>
      <w:r>
        <w:t>13) кооперированные стоянки - стоянки для обслуживания групп объектов, размещаемые с увеличенными радиусами пешеходной доступности;</w:t>
      </w:r>
    </w:p>
    <w:p w:rsidR="007D4BA9" w:rsidRDefault="007D4BA9">
      <w:pPr>
        <w:pStyle w:val="ConsPlusNormal"/>
        <w:spacing w:before="220"/>
        <w:ind w:firstLine="540"/>
        <w:jc w:val="both"/>
      </w:pPr>
      <w:r>
        <w:lastRenderedPageBreak/>
        <w:t>14) котельная - комплекс зданий и сооружений, здание или помещения с котлом (</w:t>
      </w:r>
      <w:proofErr w:type="spellStart"/>
      <w:r>
        <w:t>теплогенератором</w:t>
      </w:r>
      <w:proofErr w:type="spellEnd"/>
      <w:r>
        <w:t xml:space="preserve">) и вспомогательным технологическим оборудованием, предназначенным для выработки тепла в целях теплоснабжения; здания или помещения (встроенные, пристроенные, размещенные на крыше зданий) с котлами или </w:t>
      </w:r>
      <w:proofErr w:type="spellStart"/>
      <w:r>
        <w:t>теплогенераторами</w:t>
      </w:r>
      <w:proofErr w:type="spellEnd"/>
      <w:r>
        <w:t xml:space="preserve"> (не менее двух) и вспомогательным технологическим оборудованием, предназначенными для получения энергоносителей (водяного пара, горячей воды) в целях теплоснабжения или выработки продукции;</w:t>
      </w:r>
    </w:p>
    <w:p w:rsidR="007D4BA9" w:rsidRDefault="007D4BA9">
      <w:pPr>
        <w:pStyle w:val="ConsPlusNormal"/>
        <w:spacing w:before="220"/>
        <w:ind w:firstLine="540"/>
        <w:jc w:val="both"/>
      </w:pPr>
      <w:r>
        <w:t>15) ливнеотвод - трубопровод для отвода дождевых вод от ливнеспуска в приемник сточных вод;</w:t>
      </w:r>
    </w:p>
    <w:p w:rsidR="007D4BA9" w:rsidRDefault="007D4BA9">
      <w:pPr>
        <w:pStyle w:val="ConsPlusNormal"/>
        <w:spacing w:before="220"/>
        <w:ind w:firstLine="540"/>
        <w:jc w:val="both"/>
      </w:pPr>
      <w:r>
        <w:t>16) ливнеспуск - сооружение на канализационной сети для сброса избытков дождевых вод в приемник сточных вод;</w:t>
      </w:r>
    </w:p>
    <w:p w:rsidR="007D4BA9" w:rsidRDefault="007D4BA9">
      <w:pPr>
        <w:pStyle w:val="ConsPlusNormal"/>
        <w:spacing w:before="220"/>
        <w:ind w:firstLine="540"/>
        <w:jc w:val="both"/>
      </w:pPr>
      <w:r>
        <w:t>17) линии градостроительного регулирования - границы территорий, в пределах которых действуют особые режимы и правила их использования в соответствии с нормативными требованиями;</w:t>
      </w:r>
    </w:p>
    <w:p w:rsidR="007D4BA9" w:rsidRDefault="007D4BA9">
      <w:pPr>
        <w:pStyle w:val="ConsPlusNormal"/>
        <w:spacing w:before="220"/>
        <w:ind w:firstLine="540"/>
        <w:jc w:val="both"/>
      </w:pPr>
      <w:r>
        <w:t xml:space="preserve">18) магистральная сеть - специальная сеть, основная функция которой - транспортировка и доставка энергоносителя до </w:t>
      </w:r>
      <w:proofErr w:type="gramStart"/>
      <w:r>
        <w:t xml:space="preserve">микрорайона </w:t>
      </w:r>
      <w:r w:rsidR="007C5BC7">
        <w:t xml:space="preserve"> </w:t>
      </w:r>
      <w:r>
        <w:t>,</w:t>
      </w:r>
      <w:proofErr w:type="gramEnd"/>
      <w:r>
        <w:t xml:space="preserve"> жилого района или до промышленного предприятия на большие расстояния;</w:t>
      </w:r>
    </w:p>
    <w:p w:rsidR="007D4BA9" w:rsidRDefault="007D4BA9">
      <w:pPr>
        <w:pStyle w:val="ConsPlusNormal"/>
        <w:spacing w:before="220"/>
        <w:ind w:firstLine="540"/>
        <w:jc w:val="both"/>
      </w:pPr>
      <w:r>
        <w:t>19) магистральный трубопровод - совокупность технологически взаимосвязанных объектов, обеспечивающих транспортировку нефти или нефтепродуктов, соответствующих требованиям законодательства Российской Федерации, от мест приема до мест сдачи или перевалки на другие виды транспорта;</w:t>
      </w:r>
    </w:p>
    <w:p w:rsidR="007D4BA9" w:rsidRDefault="007D4BA9">
      <w:pPr>
        <w:pStyle w:val="ConsPlusNormal"/>
        <w:spacing w:before="220"/>
        <w:ind w:firstLine="540"/>
        <w:jc w:val="both"/>
      </w:pPr>
      <w:r>
        <w:t>20) местная телефонная сеть - часть телефонной сети общего пользования, представляющая собой совокупность коммутационных станций и узлов, линий, оконечных абонентских устройств, предназначенная для обеспечения телефонной связью абонентов города;</w:t>
      </w:r>
    </w:p>
    <w:p w:rsidR="007D4BA9" w:rsidRDefault="007D4BA9">
      <w:pPr>
        <w:pStyle w:val="ConsPlusNormal"/>
        <w:spacing w:before="220"/>
        <w:ind w:firstLine="540"/>
        <w:jc w:val="both"/>
      </w:pPr>
      <w:r>
        <w:t>21) норма отведения сточных вод - установленное количество сточных вод на одного жителя или на условную единицу, характерную для данного производства;</w:t>
      </w:r>
    </w:p>
    <w:p w:rsidR="007D4BA9" w:rsidRDefault="007D4BA9">
      <w:pPr>
        <w:pStyle w:val="ConsPlusNormal"/>
        <w:spacing w:before="220"/>
        <w:ind w:firstLine="540"/>
        <w:jc w:val="both"/>
      </w:pPr>
      <w:r>
        <w:t>22) обработка сточных вод - воздействие на сточные воды с целью обеспечения их необходимых свойств и состава;</w:t>
      </w:r>
    </w:p>
    <w:p w:rsidR="007D4BA9" w:rsidRDefault="007D4BA9">
      <w:pPr>
        <w:pStyle w:val="ConsPlusNormal"/>
        <w:spacing w:before="220"/>
        <w:ind w:firstLine="540"/>
        <w:jc w:val="both"/>
      </w:pPr>
      <w:r>
        <w:t>23) озелененная кровля - это покрытие крыши, предусматривающее частичное или полное заполнение высаженными живыми растениями;</w:t>
      </w:r>
    </w:p>
    <w:p w:rsidR="007D4BA9" w:rsidRDefault="007D4BA9">
      <w:pPr>
        <w:pStyle w:val="ConsPlusNormal"/>
        <w:spacing w:before="220"/>
        <w:ind w:firstLine="540"/>
        <w:jc w:val="both"/>
      </w:pPr>
      <w:r>
        <w:t xml:space="preserve">24) </w:t>
      </w:r>
      <w:proofErr w:type="spellStart"/>
      <w:r>
        <w:t>паркирование</w:t>
      </w:r>
      <w:proofErr w:type="spellEnd"/>
      <w:r>
        <w:t xml:space="preserve"> - временное пребывание легковых автомобилей на стоянках при поездках населения с различными целями. Для </w:t>
      </w:r>
      <w:proofErr w:type="spellStart"/>
      <w:r>
        <w:t>паркирования</w:t>
      </w:r>
      <w:proofErr w:type="spellEnd"/>
      <w:r>
        <w:t xml:space="preserve"> легковых автомобилей предусматриваются </w:t>
      </w:r>
      <w:proofErr w:type="spellStart"/>
      <w:r>
        <w:t>приобъектные</w:t>
      </w:r>
      <w:proofErr w:type="spellEnd"/>
      <w:r>
        <w:t>, кооперированные и перехватывающие стоянки;</w:t>
      </w:r>
    </w:p>
    <w:p w:rsidR="007D4BA9" w:rsidRDefault="007D4BA9">
      <w:pPr>
        <w:pStyle w:val="ConsPlusNormal"/>
        <w:spacing w:before="220"/>
        <w:ind w:firstLine="540"/>
        <w:jc w:val="both"/>
      </w:pPr>
      <w:r>
        <w:t>25) пешеходные зоны в составе рекреационных территорий общего пользования - участки территории города, в том числе в границах улично-дорожной сети, на которых осуществляются отдых и передвижение пешеходов в культурно-бытовых, транзитных, рекреационных целях. В пешеходных зонах не допускается движение всех видов транспорта, кроме велосипедного и специального, обслуживающего эту зону;</w:t>
      </w:r>
    </w:p>
    <w:p w:rsidR="007D4BA9" w:rsidRDefault="007D4BA9">
      <w:pPr>
        <w:pStyle w:val="ConsPlusNormal"/>
        <w:spacing w:before="220"/>
        <w:ind w:firstLine="540"/>
        <w:jc w:val="both"/>
      </w:pPr>
      <w:r>
        <w:t>26) подстанция - электроустановка для преобразования и распределения электроэнергии, состоящая из трансформаторов или других преобразователей энергии, распределительных устройств, устройств управления и вспомогательных сооружений. В зависимости от преобладания той или иной функции подстанций они называются трансформаторными или преобразовательными;</w:t>
      </w:r>
    </w:p>
    <w:p w:rsidR="007D4BA9" w:rsidRDefault="007D4BA9">
      <w:pPr>
        <w:pStyle w:val="ConsPlusNormal"/>
        <w:spacing w:before="220"/>
        <w:ind w:firstLine="540"/>
        <w:jc w:val="both"/>
      </w:pPr>
      <w:r>
        <w:lastRenderedPageBreak/>
        <w:t xml:space="preserve">27) </w:t>
      </w:r>
      <w:proofErr w:type="spellStart"/>
      <w:r>
        <w:t>приобъектные</w:t>
      </w:r>
      <w:proofErr w:type="spellEnd"/>
      <w:r>
        <w:t xml:space="preserve"> стоянки - стоянки, предназначенные для обслуживания отдельных объектов, размещаемые непосредственно вблизи объектов;</w:t>
      </w:r>
    </w:p>
    <w:p w:rsidR="007D4BA9" w:rsidRDefault="007D4BA9">
      <w:pPr>
        <w:pStyle w:val="ConsPlusNormal"/>
        <w:spacing w:before="220"/>
        <w:ind w:firstLine="540"/>
        <w:jc w:val="both"/>
      </w:pPr>
      <w:r>
        <w:t xml:space="preserve">28) природно-антропогенный ландшафт - природный ландшафт (объект), преобразованный хозяйственной и иной деятельностью человека или целенаправленно созданный человеком (антропогенный) ландшафт (объект), приобретший природные свойства в ходе естественного развития. При наличии отдельных антропогенных элементов (культурных растений, измененных свойств почв, режима грунтовых вод и других) или структур (селитебные территории, здания и сооружения, дороги, линии электропередачи и другие) полностью или частично сохраняет способность к </w:t>
      </w:r>
      <w:proofErr w:type="spellStart"/>
      <w:r>
        <w:t>саморегуляции</w:t>
      </w:r>
      <w:proofErr w:type="spellEnd"/>
      <w:r>
        <w:t>;</w:t>
      </w:r>
    </w:p>
    <w:p w:rsidR="007D4BA9" w:rsidRDefault="007D4BA9">
      <w:pPr>
        <w:pStyle w:val="ConsPlusNormal"/>
        <w:spacing w:before="220"/>
        <w:ind w:firstLine="540"/>
        <w:jc w:val="both"/>
      </w:pPr>
      <w:r>
        <w:t>29) природно-рекреационный комплекс (далее - ПРК) - система природных, озелененных и рекреационных территорий, рекреационных объектов разных форм собственности, обеспечивающая экологическое благополучие городской среды, удовлетворение потребностей жителей и туристов в оздоровлении, отдыхе и в иных конструктивных видах досуговой деятельности;</w:t>
      </w:r>
    </w:p>
    <w:p w:rsidR="007D4BA9" w:rsidRDefault="007D4BA9">
      <w:pPr>
        <w:pStyle w:val="ConsPlusNormal"/>
        <w:spacing w:before="220"/>
        <w:ind w:firstLine="540"/>
        <w:jc w:val="both"/>
      </w:pPr>
      <w:r>
        <w:t xml:space="preserve">30) распределительная сеть - это транспортировка и доставка </w:t>
      </w:r>
      <w:proofErr w:type="spellStart"/>
      <w:r>
        <w:t>теплоэнергоносителя</w:t>
      </w:r>
      <w:proofErr w:type="spellEnd"/>
      <w:r>
        <w:t xml:space="preserve"> от магистральных сетей до ответвления к зданиям;</w:t>
      </w:r>
    </w:p>
    <w:p w:rsidR="007D4BA9" w:rsidRDefault="007D4BA9">
      <w:pPr>
        <w:pStyle w:val="ConsPlusNormal"/>
        <w:spacing w:before="220"/>
        <w:ind w:firstLine="540"/>
        <w:jc w:val="both"/>
      </w:pPr>
      <w:r>
        <w:t>31) распределительный пункт (далее - РП) - электрическое распределительное устройство, не входящее в состав подстанции;</w:t>
      </w:r>
    </w:p>
    <w:p w:rsidR="007D4BA9" w:rsidRDefault="007D4BA9">
      <w:pPr>
        <w:pStyle w:val="ConsPlusNormal"/>
        <w:spacing w:before="220"/>
        <w:ind w:firstLine="540"/>
        <w:jc w:val="both"/>
      </w:pPr>
      <w:r>
        <w:t>32) расчетная интенсивность движения - среднегодовая суточная интенсивность движения за последний год перспективного периода, а при наличии данных о часовой интенсивности движения - наибольшая часовая интенсивность, достигаемая (или превышаемая) в течение 50 часов за последний год перспективного периода, выражаемая в единицах, приведенных к легковому автомобилю;</w:t>
      </w:r>
    </w:p>
    <w:p w:rsidR="007D4BA9" w:rsidRDefault="007D4BA9">
      <w:pPr>
        <w:pStyle w:val="ConsPlusNormal"/>
        <w:spacing w:before="220"/>
        <w:ind w:firstLine="540"/>
        <w:jc w:val="both"/>
      </w:pPr>
      <w:r>
        <w:t>33) реновация жилищного фонда - новое жилищное строительство со сносом аварийных, ветхих и иных жилых домов, не подлежащих сохранению;</w:t>
      </w:r>
    </w:p>
    <w:p w:rsidR="007D4BA9" w:rsidRDefault="007D4BA9">
      <w:pPr>
        <w:pStyle w:val="ConsPlusNormal"/>
        <w:spacing w:before="220"/>
        <w:ind w:firstLine="540"/>
        <w:jc w:val="both"/>
      </w:pPr>
      <w:r>
        <w:t>34) реорганизуемая территория - переустройство, преобразование, адаптивное использование территории в условиях изменения ее функционального назначения в целях реализации жилой застройки, обеспеченной объектами социальной, инженерной и транспортной инфраструктур на месте промышленных, производственных территорий, а также комплекс мер по реновации существующего жилищного фонда;</w:t>
      </w:r>
    </w:p>
    <w:p w:rsidR="007D4BA9" w:rsidRDefault="007D4BA9">
      <w:pPr>
        <w:pStyle w:val="ConsPlusNormal"/>
        <w:spacing w:before="220"/>
        <w:ind w:firstLine="540"/>
        <w:jc w:val="both"/>
      </w:pPr>
      <w:r>
        <w:t>35) селитебная зона - территория, предназначенная для размещения жилищного фонда, общественных зданий и сооружений, в том числе научно-исследовательских институтов и их комплексов, а также отдельных коммунальных и промышленных объектов, не требующих устройства санитарно-защитных зон для устройства путей внутригородского сообщения, улиц, площадей, парков, садов, бульваров и других мест общего пользования;</w:t>
      </w:r>
    </w:p>
    <w:p w:rsidR="007D4BA9" w:rsidRDefault="007D4BA9">
      <w:pPr>
        <w:pStyle w:val="ConsPlusNormal"/>
        <w:spacing w:before="220"/>
        <w:ind w:firstLine="540"/>
        <w:jc w:val="both"/>
      </w:pPr>
      <w:r>
        <w:t>36) сложные градостроительные условия - территории со стесненной застройкой, сложным рельефом либо конфигурацией земельного участка; территории, на которых инженерно-геологические или иные характеристики неблагоприятны для застройки;</w:t>
      </w:r>
    </w:p>
    <w:p w:rsidR="007D4BA9" w:rsidRDefault="007D4BA9">
      <w:pPr>
        <w:pStyle w:val="ConsPlusNormal"/>
        <w:spacing w:before="220"/>
        <w:ind w:firstLine="540"/>
        <w:jc w:val="both"/>
      </w:pPr>
      <w:r>
        <w:t>37) стилобат - наземная часть сооружения, часть ступенчатого цоколя здания или наземная часть общего цокольного этажа, объединяющая несколько зданий и (или) частей здания;</w:t>
      </w:r>
    </w:p>
    <w:p w:rsidR="007D4BA9" w:rsidRDefault="007D4BA9">
      <w:pPr>
        <w:pStyle w:val="ConsPlusNormal"/>
        <w:spacing w:before="220"/>
        <w:ind w:firstLine="540"/>
        <w:jc w:val="both"/>
      </w:pPr>
      <w:r>
        <w:t xml:space="preserve">38) территории природного комплекса (далее - ТПК) - территории с преобладанием растительности и (или) водных объектов, выполняющие преимущественно </w:t>
      </w:r>
      <w:proofErr w:type="spellStart"/>
      <w:r>
        <w:t>средозащитные</w:t>
      </w:r>
      <w:proofErr w:type="spellEnd"/>
      <w:r>
        <w:t xml:space="preserve">, природоохранные, рекреационные, оздоровительные и </w:t>
      </w:r>
      <w:proofErr w:type="spellStart"/>
      <w:r>
        <w:t>ландшафтообразующие</w:t>
      </w:r>
      <w:proofErr w:type="spellEnd"/>
      <w:r>
        <w:t xml:space="preserve"> функции;</w:t>
      </w:r>
    </w:p>
    <w:p w:rsidR="007D4BA9" w:rsidRDefault="007D4BA9">
      <w:pPr>
        <w:pStyle w:val="ConsPlusNormal"/>
        <w:spacing w:before="220"/>
        <w:ind w:firstLine="540"/>
        <w:jc w:val="both"/>
      </w:pPr>
      <w:r>
        <w:t xml:space="preserve">39) технический коридор - участок местности, по которому проложены коммуникации </w:t>
      </w:r>
      <w:r>
        <w:lastRenderedPageBreak/>
        <w:t>(трубопроводы, кабели, линии электропередачи) с частично совпадающими или соприкасающимися полосами отвода или охранными зонами;</w:t>
      </w:r>
    </w:p>
    <w:p w:rsidR="007D4BA9" w:rsidRDefault="007D4BA9">
      <w:pPr>
        <w:pStyle w:val="ConsPlusNormal"/>
        <w:spacing w:before="220"/>
        <w:ind w:firstLine="540"/>
        <w:jc w:val="both"/>
      </w:pPr>
      <w:r>
        <w:t>40) хранение легковых автомобилей - пребывание автотранспортных средств постоянного населения города на стоянках (в том числе в ночное время) вблизи мест проживания автовладельцев;</w:t>
      </w:r>
    </w:p>
    <w:p w:rsidR="007D4BA9" w:rsidRDefault="007D4BA9">
      <w:pPr>
        <w:pStyle w:val="ConsPlusNormal"/>
        <w:spacing w:before="220"/>
        <w:ind w:firstLine="540"/>
        <w:jc w:val="both"/>
      </w:pPr>
      <w:r>
        <w:t>41) электрическая сеть - совокупность подстанций, распределительных устройств и соединяющих их линий электропередачи, предназначенная для передачи и распределения электрической энергии;</w:t>
      </w:r>
    </w:p>
    <w:p w:rsidR="007D4BA9" w:rsidRDefault="007D4BA9">
      <w:pPr>
        <w:pStyle w:val="ConsPlusNormal"/>
        <w:spacing w:before="220"/>
        <w:ind w:firstLine="540"/>
        <w:jc w:val="both"/>
      </w:pPr>
      <w:r>
        <w:t>42) энергетическая система (энергосистема) - совокупность электростанций, электрических и тепловых сетей, соединенных между собой и связанных общностью режимов в непрерывном процессе производства, преобразования, передачи и распределения электрической и тепловой энергии при общем управлении этим режимом.</w:t>
      </w:r>
    </w:p>
    <w:p w:rsidR="007D4BA9" w:rsidRDefault="007D4BA9">
      <w:pPr>
        <w:pStyle w:val="ConsPlusNormal"/>
        <w:spacing w:before="220"/>
        <w:ind w:firstLine="540"/>
        <w:jc w:val="both"/>
      </w:pPr>
      <w:r>
        <w:t>Термины и понятия, используемые в Местных нормативах, применяются в том же значении, что и в действующем законодательстве Российской Федерации, Республики Татарстан и муниципальных правовых актах.</w:t>
      </w:r>
    </w:p>
    <w:p w:rsidR="007D4BA9" w:rsidRDefault="007D4BA9">
      <w:pPr>
        <w:pStyle w:val="ConsPlusNormal"/>
        <w:jc w:val="both"/>
      </w:pPr>
    </w:p>
    <w:p w:rsidR="007D4BA9" w:rsidRDefault="007D4BA9">
      <w:pPr>
        <w:pStyle w:val="ConsPlusTitle"/>
        <w:jc w:val="center"/>
        <w:outlineLvl w:val="2"/>
      </w:pPr>
      <w:r>
        <w:t>Глава 3. ТРЕБОВАНИЯ К ФУНКЦИОНАЛЬНО-ПЛАНИРОВОЧНОЙ</w:t>
      </w:r>
    </w:p>
    <w:p w:rsidR="007D4BA9" w:rsidRDefault="007D4BA9">
      <w:pPr>
        <w:pStyle w:val="ConsPlusTitle"/>
        <w:jc w:val="center"/>
      </w:pPr>
      <w:r>
        <w:t>ОРГАНИЗАЦИИ ТЕРРИТОРИИ</w:t>
      </w:r>
    </w:p>
    <w:p w:rsidR="007D4BA9" w:rsidRDefault="007D4BA9">
      <w:pPr>
        <w:pStyle w:val="ConsPlusNormal"/>
        <w:jc w:val="both"/>
      </w:pPr>
    </w:p>
    <w:p w:rsidR="007D4BA9" w:rsidRDefault="007D4BA9">
      <w:pPr>
        <w:pStyle w:val="ConsPlusNormal"/>
        <w:ind w:firstLine="540"/>
        <w:jc w:val="both"/>
      </w:pPr>
      <w:r>
        <w:t xml:space="preserve">6. Пространственная организация территории города </w:t>
      </w:r>
      <w:r w:rsidR="000B30E9">
        <w:t>Нижнекамск</w:t>
      </w:r>
      <w:r>
        <w:t xml:space="preserve"> осуществляется в соответствии с Градостроительным </w:t>
      </w:r>
      <w:hyperlink r:id="rId9">
        <w:r>
          <w:rPr>
            <w:color w:val="0000FF"/>
          </w:rPr>
          <w:t>кодексом</w:t>
        </w:r>
      </w:hyperlink>
      <w:r>
        <w:t xml:space="preserve"> Российской Федерации на основе Схем территориального планирования Российской Федерации, </w:t>
      </w:r>
      <w:hyperlink r:id="rId10">
        <w:r>
          <w:rPr>
            <w:color w:val="0000FF"/>
          </w:rPr>
          <w:t>Схемы</w:t>
        </w:r>
      </w:hyperlink>
      <w:r>
        <w:t xml:space="preserve"> территориального планирования Республики Татарстан, Генерального </w:t>
      </w:r>
      <w:hyperlink r:id="rId11">
        <w:r>
          <w:rPr>
            <w:color w:val="0000FF"/>
          </w:rPr>
          <w:t>плана</w:t>
        </w:r>
      </w:hyperlink>
      <w:r>
        <w:t xml:space="preserve"> города </w:t>
      </w:r>
      <w:r w:rsidR="000B30E9">
        <w:t>Нижнекамск</w:t>
      </w:r>
      <w:r>
        <w:t xml:space="preserve"> (далее - Генеральный план), </w:t>
      </w:r>
      <w:hyperlink r:id="rId12">
        <w:r>
          <w:rPr>
            <w:color w:val="0000FF"/>
          </w:rPr>
          <w:t>Правил</w:t>
        </w:r>
      </w:hyperlink>
      <w:r>
        <w:t xml:space="preserve"> землепользования и застройки муниципального образования город </w:t>
      </w:r>
      <w:r w:rsidR="000B30E9">
        <w:t>Нижнекамск</w:t>
      </w:r>
      <w:r>
        <w:t xml:space="preserve">, программ развития социальной, транспортной и инженерной инфраструктуры города </w:t>
      </w:r>
      <w:r w:rsidR="000B30E9">
        <w:t>Нижнекамск</w:t>
      </w:r>
      <w:r>
        <w:t xml:space="preserve"> и Местных нормативов.</w:t>
      </w:r>
    </w:p>
    <w:p w:rsidR="007D4BA9" w:rsidRDefault="007D4BA9">
      <w:pPr>
        <w:pStyle w:val="ConsPlusNormal"/>
        <w:spacing w:before="220"/>
        <w:ind w:firstLine="540"/>
        <w:jc w:val="both"/>
      </w:pPr>
      <w:r>
        <w:t xml:space="preserve">7. При проектировании и строительстве жилых домов, а также объектов капитального строительства с массовым пребыванием людей предусматривается размещение системы видеонаблюдения на фасадах зданий и сооружений в соответствии с </w:t>
      </w:r>
      <w:hyperlink r:id="rId13">
        <w:r>
          <w:rPr>
            <w:color w:val="0000FF"/>
          </w:rPr>
          <w:t>Правилами</w:t>
        </w:r>
      </w:hyperlink>
      <w:r>
        <w:t xml:space="preserve"> благоустройства территории муниципального образования город </w:t>
      </w:r>
      <w:r w:rsidR="000B30E9">
        <w:t>Нижнекамск</w:t>
      </w:r>
      <w:r>
        <w:t xml:space="preserve"> (далее - Правила благоустройства).</w:t>
      </w:r>
    </w:p>
    <w:p w:rsidR="007D4BA9" w:rsidRDefault="007D4BA9">
      <w:pPr>
        <w:pStyle w:val="ConsPlusNormal"/>
        <w:spacing w:before="220"/>
        <w:ind w:firstLine="540"/>
        <w:jc w:val="both"/>
      </w:pPr>
      <w:r>
        <w:t xml:space="preserve">8. При проектировании и строительстве жилых домов, зданий общественного назначения, выходящих фасадами на улицы и общегородские дороги с повышенными требованиями к эстетике городской среды, формирующие панорамы города </w:t>
      </w:r>
      <w:r w:rsidR="000B30E9">
        <w:t>Нижнекамск</w:t>
      </w:r>
      <w:r>
        <w:t xml:space="preserve">, территории особого городского значения, территории общего пользования, при проектировании озелененных территорий общего пользования предусматривается архитектурная подсветка в соответствии с требованиями </w:t>
      </w:r>
      <w:hyperlink r:id="rId14">
        <w:r>
          <w:rPr>
            <w:color w:val="0000FF"/>
          </w:rPr>
          <w:t>Правил</w:t>
        </w:r>
      </w:hyperlink>
      <w:r>
        <w:t xml:space="preserve"> благоустройства.</w:t>
      </w:r>
    </w:p>
    <w:p w:rsidR="007D4BA9" w:rsidRDefault="007D4BA9">
      <w:pPr>
        <w:pStyle w:val="ConsPlusNormal"/>
        <w:jc w:val="both"/>
      </w:pPr>
    </w:p>
    <w:p w:rsidR="007D4BA9" w:rsidRDefault="007D4BA9">
      <w:pPr>
        <w:pStyle w:val="ConsPlusTitle"/>
        <w:jc w:val="center"/>
        <w:outlineLvl w:val="2"/>
      </w:pPr>
      <w:r>
        <w:t>Глава 4. ПЛАНИРОВОЧНАЯ ОРГАНИЗАЦИЯ ЖИЛЫХ ТЕРРИТОРИЙ</w:t>
      </w:r>
    </w:p>
    <w:p w:rsidR="007D4BA9" w:rsidRDefault="007D4BA9">
      <w:pPr>
        <w:pStyle w:val="ConsPlusTitle"/>
        <w:jc w:val="center"/>
      </w:pPr>
      <w:r>
        <w:t>И УЧАСТКОВ ЖИЛОЙ ЗАСТРОЙКИ В СМЕШАННЫХ ЗОНАХ</w:t>
      </w:r>
    </w:p>
    <w:p w:rsidR="007D4BA9" w:rsidRDefault="007D4BA9">
      <w:pPr>
        <w:pStyle w:val="ConsPlusNormal"/>
        <w:jc w:val="both"/>
      </w:pPr>
    </w:p>
    <w:p w:rsidR="007D4BA9" w:rsidRDefault="007D4BA9">
      <w:pPr>
        <w:pStyle w:val="ConsPlusNormal"/>
        <w:ind w:firstLine="540"/>
        <w:jc w:val="both"/>
      </w:pPr>
      <w:r>
        <w:t>9. Жилые территории предназначены для организации жилой среды, обеспечивающей безопасность жизнедеятельности и отвечающей современным социальным, гигиеническим и градостроительным требованиям к созданию комфортной городской среды, и устойчивого развития территории.</w:t>
      </w:r>
    </w:p>
    <w:p w:rsidR="007D4BA9" w:rsidRDefault="007D4BA9">
      <w:pPr>
        <w:pStyle w:val="ConsPlusNormal"/>
        <w:spacing w:before="220"/>
        <w:ind w:firstLine="540"/>
        <w:jc w:val="both"/>
      </w:pPr>
      <w:r>
        <w:t>В жилой застройке выделяются:</w:t>
      </w:r>
    </w:p>
    <w:p w:rsidR="007D4BA9" w:rsidRDefault="007D4BA9">
      <w:pPr>
        <w:pStyle w:val="ConsPlusNormal"/>
        <w:spacing w:before="220"/>
        <w:ind w:firstLine="540"/>
        <w:jc w:val="both"/>
      </w:pPr>
      <w:r>
        <w:t>1) микрорайон (комплекс) многоквартирной жилой застройки;</w:t>
      </w:r>
    </w:p>
    <w:p w:rsidR="007D4BA9" w:rsidRDefault="007D4BA9">
      <w:pPr>
        <w:pStyle w:val="ConsPlusNormal"/>
        <w:spacing w:before="220"/>
        <w:ind w:firstLine="540"/>
        <w:jc w:val="both"/>
      </w:pPr>
      <w:r>
        <w:lastRenderedPageBreak/>
        <w:t>2) микрорайон (комплекс) смешанной индивидуальной и блокированной жилой застройки.</w:t>
      </w:r>
    </w:p>
    <w:p w:rsidR="007D4BA9" w:rsidRDefault="007D4BA9">
      <w:pPr>
        <w:pStyle w:val="ConsPlusNormal"/>
        <w:jc w:val="both"/>
      </w:pPr>
    </w:p>
    <w:p w:rsidR="007D4BA9" w:rsidRDefault="007D4BA9">
      <w:pPr>
        <w:pStyle w:val="ConsPlusTitle"/>
        <w:jc w:val="center"/>
        <w:outlineLvl w:val="2"/>
      </w:pPr>
      <w:r>
        <w:t>Глава 5. ТРЕБОВАНИЯ К ОРГАНИЗАЦИИ ТЕРРИТОРИЙ</w:t>
      </w:r>
    </w:p>
    <w:p w:rsidR="007D4BA9" w:rsidRDefault="007D4BA9">
      <w:pPr>
        <w:pStyle w:val="ConsPlusTitle"/>
        <w:jc w:val="center"/>
      </w:pPr>
      <w:r>
        <w:t>МНОГОКВАРТИРНОЙ ЖИЛОЙ ЗАСТРОЙКИ</w:t>
      </w:r>
    </w:p>
    <w:p w:rsidR="007D4BA9" w:rsidRDefault="007D4BA9">
      <w:pPr>
        <w:pStyle w:val="ConsPlusNormal"/>
        <w:jc w:val="both"/>
      </w:pPr>
    </w:p>
    <w:p w:rsidR="007D4BA9" w:rsidRDefault="007D4BA9">
      <w:pPr>
        <w:pStyle w:val="ConsPlusNormal"/>
        <w:ind w:firstLine="540"/>
        <w:jc w:val="both"/>
      </w:pPr>
      <w:r>
        <w:t xml:space="preserve">10. Развитие неосвоенных территорий города </w:t>
      </w:r>
      <w:r w:rsidR="000B30E9">
        <w:t>Нижнекамск</w:t>
      </w:r>
      <w:r>
        <w:t xml:space="preserve"> с целью жилищного строительства, а также реорганизация под жилищное строительство территорий, занятых промышленными, коммунально-складскими и иными объектами, осуществляется комплексно с учетом обеспечения населения социально значимыми объектами и объектами обслуживания в объеме не ниже минимальных расчетных показателей обеспеченности, радиусы обслуживания которых не превышают максимально допустимые Местными нормативами.</w:t>
      </w:r>
    </w:p>
    <w:p w:rsidR="007D4BA9" w:rsidRDefault="007D4BA9">
      <w:pPr>
        <w:pStyle w:val="ConsPlusNormal"/>
        <w:spacing w:before="220"/>
        <w:ind w:firstLine="540"/>
        <w:jc w:val="both"/>
      </w:pPr>
      <w:r>
        <w:t xml:space="preserve">11. В составе Генерального </w:t>
      </w:r>
      <w:hyperlink r:id="rId15">
        <w:r>
          <w:rPr>
            <w:color w:val="0000FF"/>
          </w:rPr>
          <w:t>плана</w:t>
        </w:r>
      </w:hyperlink>
      <w:r>
        <w:t xml:space="preserve"> устанавливаются границы функциональных зон - основных элементов планировочной структуры, определяющих перспективное развитие территории исходя из стратегических приоритетов города </w:t>
      </w:r>
      <w:r w:rsidR="000B30E9">
        <w:t>Нижнекамск</w:t>
      </w:r>
      <w:r>
        <w:t xml:space="preserve"> и возможностей существующего и перспективного транспортно-планировочного каркаса.</w:t>
      </w:r>
    </w:p>
    <w:p w:rsidR="007D4BA9" w:rsidRDefault="007D4BA9">
      <w:pPr>
        <w:pStyle w:val="ConsPlusNormal"/>
        <w:spacing w:before="220"/>
        <w:ind w:firstLine="540"/>
        <w:jc w:val="both"/>
      </w:pPr>
      <w:r>
        <w:t>12.</w:t>
      </w:r>
      <w:r w:rsidR="00693957">
        <w:t xml:space="preserve"> </w:t>
      </w:r>
      <w:r>
        <w:t xml:space="preserve">Границы разработки проектов планировок территорий, предназначенных для размещения объектов жилищного строительства, устанавливаются согласно функциональным зонам Генерального </w:t>
      </w:r>
      <w:hyperlink r:id="rId16">
        <w:r>
          <w:rPr>
            <w:color w:val="0000FF"/>
          </w:rPr>
          <w:t>плана</w:t>
        </w:r>
      </w:hyperlink>
      <w:r>
        <w:t>. В отношении территорий иных функциональных зон, не предназначенных для размещения объектов жилищного строительства, границы проектов планировок могут устанавливаться с учетом улиц, проездов, границ элементов планировочной структуры, территориальных зон, земельных участков, поставленных на кадастровый учет, а также по естественным границам природных объектов.</w:t>
      </w:r>
    </w:p>
    <w:p w:rsidR="007D4BA9" w:rsidRDefault="007D4BA9">
      <w:pPr>
        <w:pStyle w:val="ConsPlusNormal"/>
        <w:spacing w:before="220"/>
        <w:ind w:firstLine="540"/>
        <w:jc w:val="both"/>
      </w:pPr>
      <w:r>
        <w:t>13. В Положении о характеристиках планируемого развития территории в составе основной части проекта планировки территории для каждой зоны планируемого размещения объектов капитального строительства жилого назначения указываются следующие параметры:</w:t>
      </w:r>
    </w:p>
    <w:p w:rsidR="007D4BA9" w:rsidRDefault="007D4BA9">
      <w:pPr>
        <w:pStyle w:val="ConsPlusNormal"/>
        <w:spacing w:before="220"/>
        <w:ind w:firstLine="540"/>
        <w:jc w:val="both"/>
      </w:pPr>
      <w:r>
        <w:t>1) характеристики объектов капитального строительства:</w:t>
      </w:r>
    </w:p>
    <w:p w:rsidR="007D4BA9" w:rsidRDefault="007D4BA9">
      <w:pPr>
        <w:pStyle w:val="ConsPlusNormal"/>
        <w:spacing w:before="220"/>
        <w:ind w:firstLine="540"/>
        <w:jc w:val="both"/>
      </w:pPr>
      <w:r>
        <w:t>- площадь зоны планируемого размещения объекта капитального строительства;</w:t>
      </w:r>
    </w:p>
    <w:p w:rsidR="007D4BA9" w:rsidRDefault="007D4BA9">
      <w:pPr>
        <w:pStyle w:val="ConsPlusNormal"/>
        <w:spacing w:before="220"/>
        <w:ind w:firstLine="540"/>
        <w:jc w:val="both"/>
      </w:pPr>
      <w:r>
        <w:t>- плотность жилищного фонда;</w:t>
      </w:r>
    </w:p>
    <w:p w:rsidR="007D4BA9" w:rsidRDefault="007D4BA9">
      <w:pPr>
        <w:pStyle w:val="ConsPlusNormal"/>
        <w:spacing w:before="220"/>
        <w:ind w:firstLine="540"/>
        <w:jc w:val="both"/>
      </w:pPr>
      <w:r>
        <w:t>- общая площадь квартир;</w:t>
      </w:r>
    </w:p>
    <w:p w:rsidR="007D4BA9" w:rsidRDefault="007D4BA9">
      <w:pPr>
        <w:pStyle w:val="ConsPlusNormal"/>
        <w:spacing w:before="220"/>
        <w:ind w:firstLine="540"/>
        <w:jc w:val="both"/>
      </w:pPr>
      <w:r>
        <w:t>- общая площадь встроенно-пристроенных помещений нежилого назначения;</w:t>
      </w:r>
    </w:p>
    <w:p w:rsidR="007D4BA9" w:rsidRDefault="007D4BA9">
      <w:pPr>
        <w:pStyle w:val="ConsPlusNormal"/>
        <w:spacing w:before="220"/>
        <w:ind w:firstLine="540"/>
        <w:jc w:val="both"/>
      </w:pPr>
      <w:r>
        <w:t>- площадь застройки жилых домов;</w:t>
      </w:r>
    </w:p>
    <w:p w:rsidR="007D4BA9" w:rsidRDefault="007D4BA9">
      <w:pPr>
        <w:pStyle w:val="ConsPlusNormal"/>
        <w:spacing w:before="220"/>
        <w:ind w:firstLine="540"/>
        <w:jc w:val="both"/>
      </w:pPr>
      <w:r>
        <w:t>- максимальная этажность жилых домов;</w:t>
      </w:r>
    </w:p>
    <w:p w:rsidR="007D4BA9" w:rsidRDefault="007D4BA9">
      <w:pPr>
        <w:pStyle w:val="ConsPlusNormal"/>
        <w:spacing w:before="220"/>
        <w:ind w:firstLine="540"/>
        <w:jc w:val="both"/>
      </w:pPr>
      <w:r>
        <w:t>2) потребность в емкости объектов инфраструктуры:</w:t>
      </w:r>
    </w:p>
    <w:p w:rsidR="007D4BA9" w:rsidRDefault="007D4BA9">
      <w:pPr>
        <w:pStyle w:val="ConsPlusNormal"/>
        <w:spacing w:before="220"/>
        <w:ind w:firstLine="540"/>
        <w:jc w:val="both"/>
      </w:pPr>
      <w:r>
        <w:t>- потребность в местах в дошкольных образовательных учреждениях;</w:t>
      </w:r>
    </w:p>
    <w:p w:rsidR="007D4BA9" w:rsidRDefault="007D4BA9">
      <w:pPr>
        <w:pStyle w:val="ConsPlusNormal"/>
        <w:spacing w:before="220"/>
        <w:ind w:firstLine="540"/>
        <w:jc w:val="both"/>
      </w:pPr>
      <w:r>
        <w:t>- потребность в местах в общеобразовательных учреждениях;</w:t>
      </w:r>
    </w:p>
    <w:p w:rsidR="007D4BA9" w:rsidRDefault="007D4BA9">
      <w:pPr>
        <w:pStyle w:val="ConsPlusNormal"/>
        <w:spacing w:before="220"/>
        <w:ind w:firstLine="540"/>
        <w:jc w:val="both"/>
      </w:pPr>
      <w:r>
        <w:t>- потребность в числе посещений в смену во взрослых поликлиниках;</w:t>
      </w:r>
    </w:p>
    <w:p w:rsidR="007D4BA9" w:rsidRDefault="007D4BA9">
      <w:pPr>
        <w:pStyle w:val="ConsPlusNormal"/>
        <w:spacing w:before="220"/>
        <w:ind w:firstLine="540"/>
        <w:jc w:val="both"/>
      </w:pPr>
      <w:r>
        <w:t>- потребность в числе посещений в смену в детских поликлиниках;</w:t>
      </w:r>
    </w:p>
    <w:p w:rsidR="007D4BA9" w:rsidRDefault="007D4BA9">
      <w:pPr>
        <w:pStyle w:val="ConsPlusNormal"/>
        <w:spacing w:before="220"/>
        <w:ind w:firstLine="540"/>
        <w:jc w:val="both"/>
      </w:pPr>
      <w:r>
        <w:t>- потребность в числе мест для постоянного хранения автомобилей жителей жилых домов;</w:t>
      </w:r>
    </w:p>
    <w:p w:rsidR="007D4BA9" w:rsidRDefault="007D4BA9">
      <w:pPr>
        <w:pStyle w:val="ConsPlusNormal"/>
        <w:spacing w:before="220"/>
        <w:ind w:firstLine="540"/>
        <w:jc w:val="both"/>
      </w:pPr>
      <w:r>
        <w:t xml:space="preserve">- число и доля от общей потребности в местах для хранения легкового автотранспорта постоянного населения, размещаемых в подземных гаражах - стоянках и (или) в отдельно стоящих </w:t>
      </w:r>
      <w:r>
        <w:lastRenderedPageBreak/>
        <w:t>наземных паркингах;</w:t>
      </w:r>
    </w:p>
    <w:p w:rsidR="007D4BA9" w:rsidRDefault="007D4BA9">
      <w:pPr>
        <w:pStyle w:val="ConsPlusNormal"/>
        <w:spacing w:before="220"/>
        <w:ind w:firstLine="540"/>
        <w:jc w:val="both"/>
      </w:pPr>
      <w:r>
        <w:t>- потребность в гостевых автостоянках для жилых домов;</w:t>
      </w:r>
    </w:p>
    <w:p w:rsidR="007D4BA9" w:rsidRDefault="007D4BA9">
      <w:pPr>
        <w:pStyle w:val="ConsPlusNormal"/>
        <w:spacing w:before="220"/>
        <w:ind w:firstLine="540"/>
        <w:jc w:val="both"/>
      </w:pPr>
      <w:r>
        <w:t>- потребность в автостоянках для встроенно-пристроенных помещений.</w:t>
      </w:r>
    </w:p>
    <w:p w:rsidR="007D4BA9" w:rsidRDefault="007D4BA9">
      <w:pPr>
        <w:pStyle w:val="ConsPlusNormal"/>
        <w:spacing w:before="220"/>
        <w:ind w:firstLine="540"/>
        <w:jc w:val="both"/>
      </w:pPr>
      <w:r>
        <w:t>14. Эскиз застройки разрабатывается на территорию, кратную одной или нескольким зонам планируемого размещения объектов капитального строительства соответствующего проекта планировки территории.</w:t>
      </w:r>
    </w:p>
    <w:p w:rsidR="007D4BA9" w:rsidRDefault="007D4BA9">
      <w:pPr>
        <w:pStyle w:val="ConsPlusNormal"/>
        <w:spacing w:before="220"/>
        <w:ind w:firstLine="540"/>
        <w:jc w:val="both"/>
      </w:pPr>
      <w:r>
        <w:t>15. При проектировании эскизных предложений и для оформления разрешительной документации для отдельных объектов в границах проекта планировки территории не требуется получения специального разрешения на отклонение от предельных параметров разрешенного строительства при условии подтверждения соответствия (</w:t>
      </w:r>
      <w:proofErr w:type="spellStart"/>
      <w:r>
        <w:t>непревышения</w:t>
      </w:r>
      <w:proofErr w:type="spellEnd"/>
      <w:r>
        <w:t>) параметров отдельного объекта параметрам и технико-экономическим показателям, заложенным в эскизе застройки, а также характеристикам объектов капитального строительства проекта планировки территории.</w:t>
      </w:r>
    </w:p>
    <w:p w:rsidR="007D4BA9" w:rsidRDefault="007D4BA9">
      <w:pPr>
        <w:pStyle w:val="ConsPlusNormal"/>
        <w:spacing w:before="220"/>
        <w:ind w:firstLine="540"/>
        <w:jc w:val="both"/>
      </w:pPr>
      <w:r>
        <w:t>16. В рамках подготовки эскизов застройки в виде отдельного документа, эскизных предложений, проектной документации на строительство характеристики объектов капитального строительства могут отклоняться от значений, установленных в проекте планировки территории, но только в меньшую сторону.</w:t>
      </w:r>
    </w:p>
    <w:p w:rsidR="007D4BA9" w:rsidRDefault="007D4BA9">
      <w:pPr>
        <w:pStyle w:val="ConsPlusNormal"/>
        <w:spacing w:before="220"/>
        <w:ind w:firstLine="540"/>
        <w:jc w:val="both"/>
      </w:pPr>
      <w:r>
        <w:t>17. Состав графических материалов эскиза застройки определяется техническим заданием на разработку проекта планировки территории.</w:t>
      </w:r>
    </w:p>
    <w:p w:rsidR="007D4BA9" w:rsidRDefault="007D4BA9">
      <w:pPr>
        <w:pStyle w:val="ConsPlusNormal"/>
        <w:spacing w:before="220"/>
        <w:ind w:firstLine="540"/>
        <w:jc w:val="both"/>
      </w:pPr>
      <w:r>
        <w:t>18. На соответствующих чертежах эскиза застройки должны быть отражены следующие объекты:</w:t>
      </w:r>
    </w:p>
    <w:p w:rsidR="007D4BA9" w:rsidRDefault="007D4BA9">
      <w:pPr>
        <w:pStyle w:val="ConsPlusNormal"/>
        <w:spacing w:before="220"/>
        <w:ind w:firstLine="540"/>
        <w:jc w:val="both"/>
      </w:pPr>
      <w:r>
        <w:t>1) границы зон планируемого размещения объектов капитального строительства;</w:t>
      </w:r>
    </w:p>
    <w:p w:rsidR="007D4BA9" w:rsidRDefault="007D4BA9">
      <w:pPr>
        <w:pStyle w:val="ConsPlusNormal"/>
        <w:spacing w:before="220"/>
        <w:ind w:firstLine="540"/>
        <w:jc w:val="both"/>
      </w:pPr>
      <w:r>
        <w:t>2) жилые дома с указанием этажности каждой секции;</w:t>
      </w:r>
    </w:p>
    <w:p w:rsidR="007D4BA9" w:rsidRDefault="007D4BA9">
      <w:pPr>
        <w:pStyle w:val="ConsPlusNormal"/>
        <w:spacing w:before="220"/>
        <w:ind w:firstLine="540"/>
        <w:jc w:val="both"/>
      </w:pPr>
      <w:r>
        <w:t>3) объекты капитального строительства нежилого назначения с указанием этажности;</w:t>
      </w:r>
    </w:p>
    <w:p w:rsidR="007D4BA9" w:rsidRDefault="007D4BA9">
      <w:pPr>
        <w:pStyle w:val="ConsPlusNormal"/>
        <w:spacing w:before="220"/>
        <w:ind w:firstLine="540"/>
        <w:jc w:val="both"/>
      </w:pPr>
      <w:r>
        <w:t>4) красные линии;</w:t>
      </w:r>
    </w:p>
    <w:p w:rsidR="007D4BA9" w:rsidRDefault="007D4BA9">
      <w:pPr>
        <w:pStyle w:val="ConsPlusNormal"/>
        <w:spacing w:before="220"/>
        <w:ind w:firstLine="540"/>
        <w:jc w:val="both"/>
      </w:pPr>
      <w:r>
        <w:t>5) существующая и проектная улично-дорожная сеть (далее - УДС);</w:t>
      </w:r>
    </w:p>
    <w:p w:rsidR="007D4BA9" w:rsidRDefault="007D4BA9">
      <w:pPr>
        <w:pStyle w:val="ConsPlusNormal"/>
        <w:spacing w:before="220"/>
        <w:ind w:firstLine="540"/>
        <w:jc w:val="both"/>
      </w:pPr>
      <w:r>
        <w:t>6) существующие и проектные внутриквартальные проезды;</w:t>
      </w:r>
    </w:p>
    <w:p w:rsidR="007D4BA9" w:rsidRDefault="007D4BA9">
      <w:pPr>
        <w:pStyle w:val="ConsPlusNormal"/>
        <w:spacing w:before="220"/>
        <w:ind w:firstLine="540"/>
        <w:jc w:val="both"/>
      </w:pPr>
      <w:r>
        <w:t xml:space="preserve">7) </w:t>
      </w:r>
      <w:proofErr w:type="spellStart"/>
      <w:r>
        <w:t>машино</w:t>
      </w:r>
      <w:proofErr w:type="spellEnd"/>
      <w:r>
        <w:t xml:space="preserve">-места для постоянного хранения автомобилей жителей, гостевые автостоянки, места </w:t>
      </w:r>
      <w:proofErr w:type="spellStart"/>
      <w:r>
        <w:t>паркирования</w:t>
      </w:r>
      <w:proofErr w:type="spellEnd"/>
      <w:r>
        <w:t xml:space="preserve"> легкового автотранспорта работающих и посетителей учреждений и предприятий, расположенных во встроенно-пристроенных помещениях;</w:t>
      </w:r>
    </w:p>
    <w:p w:rsidR="007D4BA9" w:rsidRDefault="007D4BA9">
      <w:pPr>
        <w:pStyle w:val="ConsPlusNormal"/>
        <w:spacing w:before="220"/>
        <w:ind w:firstLine="540"/>
        <w:jc w:val="both"/>
      </w:pPr>
      <w:r>
        <w:t>8) детские игровые площадки, площадки для занятий физкультурой, места для отдыха взрослого населения и иные планировочные элементы с применением покрытия в соответствии с действующими техническими регламентами;</w:t>
      </w:r>
    </w:p>
    <w:p w:rsidR="007D4BA9" w:rsidRDefault="007D4BA9">
      <w:pPr>
        <w:pStyle w:val="ConsPlusNormal"/>
        <w:spacing w:before="220"/>
        <w:ind w:firstLine="540"/>
        <w:jc w:val="both"/>
      </w:pPr>
      <w:r>
        <w:t>9) места (площадки) накопления твердых коммунальных отходов (далее - ТКО);</w:t>
      </w:r>
    </w:p>
    <w:p w:rsidR="007D4BA9" w:rsidRDefault="007D4BA9">
      <w:pPr>
        <w:pStyle w:val="ConsPlusNormal"/>
        <w:spacing w:before="220"/>
        <w:ind w:firstLine="540"/>
        <w:jc w:val="both"/>
      </w:pPr>
      <w:r>
        <w:t>10) территории, имеющие естественное растительное покрытие, озелененные придомовые территории.</w:t>
      </w:r>
    </w:p>
    <w:p w:rsidR="007D4BA9" w:rsidRDefault="007D4BA9">
      <w:pPr>
        <w:pStyle w:val="ConsPlusNormal"/>
        <w:jc w:val="both"/>
      </w:pPr>
    </w:p>
    <w:p w:rsidR="007D4BA9" w:rsidRDefault="007D4BA9">
      <w:pPr>
        <w:pStyle w:val="ConsPlusTitle"/>
        <w:jc w:val="center"/>
        <w:outlineLvl w:val="2"/>
      </w:pPr>
      <w:r>
        <w:t>Глава 6. ТРЕБОВАНИЯ К АРХИТЕКТУРНО-ГРАДОСТРОИТЕЛЬНОМУ</w:t>
      </w:r>
    </w:p>
    <w:p w:rsidR="007D4BA9" w:rsidRDefault="007D4BA9">
      <w:pPr>
        <w:pStyle w:val="ConsPlusTitle"/>
        <w:jc w:val="center"/>
      </w:pPr>
      <w:r>
        <w:t>ОБЛИКУ ОБЪЕКТА</w:t>
      </w:r>
    </w:p>
    <w:p w:rsidR="007D4BA9" w:rsidRDefault="007D4BA9">
      <w:pPr>
        <w:pStyle w:val="ConsPlusNormal"/>
        <w:jc w:val="both"/>
      </w:pPr>
    </w:p>
    <w:p w:rsidR="007D4BA9" w:rsidRDefault="007D4BA9">
      <w:pPr>
        <w:pStyle w:val="ConsPlusNormal"/>
        <w:ind w:firstLine="540"/>
        <w:jc w:val="both"/>
      </w:pPr>
      <w:r>
        <w:t xml:space="preserve">19. В жилых домах, выходящих фасадом на улицы, объекты обслуживания жилой застройки </w:t>
      </w:r>
      <w:r>
        <w:lastRenderedPageBreak/>
        <w:t>размещаются во встроенных, пристроенных и встроенно-пристроенных помещениях на первых этажах многоквартирных домов вдоль всего фасада, выходящего на улицу.</w:t>
      </w:r>
    </w:p>
    <w:p w:rsidR="007D4BA9" w:rsidRDefault="007D4BA9">
      <w:pPr>
        <w:pStyle w:val="ConsPlusNormal"/>
        <w:spacing w:before="220"/>
        <w:ind w:firstLine="540"/>
        <w:jc w:val="both"/>
      </w:pPr>
      <w:r>
        <w:t>20. Остекление фасадов лоджий жилых домов разрабатывается в эскизном предложении. Указанный эскиз, а также размещение инженерного и технического оборудования, включая кондиционеры, декоративные экраны, внешние жалюзи-</w:t>
      </w:r>
      <w:proofErr w:type="spellStart"/>
      <w:r>
        <w:t>рольставни</w:t>
      </w:r>
      <w:proofErr w:type="spellEnd"/>
      <w:r>
        <w:t xml:space="preserve">, на фасаде зданий и сооружений, необходимо согласовывать с Исполнительным комитетом города </w:t>
      </w:r>
      <w:r w:rsidR="000B30E9">
        <w:t>Нижнекамск</w:t>
      </w:r>
      <w:r>
        <w:t xml:space="preserve"> (далее - Исполнительный комитет) в соответствии с утвержденными административными регламентами.</w:t>
      </w:r>
    </w:p>
    <w:p w:rsidR="007D4BA9" w:rsidRDefault="007D4BA9">
      <w:pPr>
        <w:pStyle w:val="ConsPlusNormal"/>
        <w:spacing w:before="220"/>
        <w:ind w:firstLine="540"/>
        <w:jc w:val="both"/>
      </w:pPr>
      <w:r>
        <w:t>21. Требования к архитектурной подсветке и наружной рекламе зданий и сооружений устанавливаются муниципальными правовыми актами Исполнительного комитета. При согласовании эскизных предложений жилых и общественных зданий необходимо предоставлять информацию об устройстве ночной подсветки с указанием спецификации применяемых осветительных приборов и визуализацию объекта в ночное время суток. Предусматривать разделение ночной подсветки, разделяющуюся на ежедневную ночную подсветку и праздничную подсветку зданий и сооружений.</w:t>
      </w:r>
    </w:p>
    <w:p w:rsidR="007D4BA9" w:rsidRDefault="007D4BA9">
      <w:pPr>
        <w:pStyle w:val="ConsPlusNormal"/>
        <w:spacing w:before="220"/>
        <w:ind w:firstLine="540"/>
        <w:jc w:val="both"/>
      </w:pPr>
      <w:r>
        <w:t xml:space="preserve">22. К фасадам зданий, строений и сооружений, в особенности выходящим на общегородские магистрали, предъявляются повышенные требования с целью сохранения внешнего архитектурного облика сложившейся застройки города </w:t>
      </w:r>
      <w:r w:rsidR="000B30E9">
        <w:t>Нижнекамск</w:t>
      </w:r>
      <w:r>
        <w:t>. При проектировании многоквартирных жилых домов необходимо предусматривать корзины для размещения кондиционерных блоков. Допускается размещение одного места под установку кондиционеров в ограждаемой застекленной лоджии, балконе при условии наличия вентиляционной решетки воздухообмена. Необходимо предусматривать размещение отдельных площадок, примыкающих к торцам здания без окон для размещения систем кондиционирования и вентиляции, исключающих размещение на кровле выступающей части здания первого этажа. В составе эскизного предложения разрешается применение индивидуального проекта площадки для установки систем кондиционирования и вентиляции, качество и архитектурно-пластическое решение которого должно отвечать современным требованиям и превышать качество типовых проектов.</w:t>
      </w:r>
    </w:p>
    <w:p w:rsidR="007D4BA9" w:rsidRDefault="007D4BA9">
      <w:pPr>
        <w:pStyle w:val="ConsPlusNormal"/>
        <w:spacing w:before="220"/>
        <w:ind w:firstLine="540"/>
        <w:jc w:val="both"/>
      </w:pPr>
      <w:r>
        <w:t>23. При проектировании и строительстве жилых домов, а также объектов капитального строительства необходимо предусматривать размещение системы видеонаблюдения на фасадах зданий и сооружений.</w:t>
      </w:r>
    </w:p>
    <w:p w:rsidR="007D4BA9" w:rsidRDefault="007D4BA9">
      <w:pPr>
        <w:pStyle w:val="ConsPlusNormal"/>
        <w:jc w:val="both"/>
      </w:pPr>
    </w:p>
    <w:p w:rsidR="007D4BA9" w:rsidRDefault="007D4BA9">
      <w:pPr>
        <w:pStyle w:val="ConsPlusTitle"/>
        <w:jc w:val="center"/>
        <w:outlineLvl w:val="2"/>
      </w:pPr>
      <w:r>
        <w:t>Глава 7. ТРЕБОВАНИЯ К ОРГАНИЗАЦИИ ЖИЛЫХ РАЙОНОВ</w:t>
      </w:r>
    </w:p>
    <w:p w:rsidR="007D4BA9" w:rsidRDefault="007D4BA9">
      <w:pPr>
        <w:pStyle w:val="ConsPlusTitle"/>
        <w:jc w:val="center"/>
      </w:pPr>
      <w:r>
        <w:t xml:space="preserve">И МИКРОРАЙОНОВ </w:t>
      </w:r>
    </w:p>
    <w:p w:rsidR="007D4BA9" w:rsidRDefault="007D4BA9">
      <w:pPr>
        <w:pStyle w:val="ConsPlusNormal"/>
        <w:jc w:val="both"/>
      </w:pPr>
    </w:p>
    <w:p w:rsidR="007D4BA9" w:rsidRDefault="007D4BA9">
      <w:pPr>
        <w:pStyle w:val="ConsPlusNormal"/>
        <w:ind w:firstLine="540"/>
        <w:jc w:val="both"/>
      </w:pPr>
      <w:r>
        <w:t xml:space="preserve">24. Жилой район должен быть обеспечен объектами повседневного и периодического обслуживания с учетом установленных расчетных показателей минимальной обеспеченности и максимальной доступности объектов местного значения города </w:t>
      </w:r>
      <w:r w:rsidR="000B30E9">
        <w:t>Нижнекамск</w:t>
      </w:r>
      <w:r>
        <w:t>.</w:t>
      </w:r>
    </w:p>
    <w:p w:rsidR="007D4BA9" w:rsidRDefault="007D4BA9">
      <w:pPr>
        <w:pStyle w:val="ConsPlusNormal"/>
        <w:spacing w:before="220"/>
        <w:ind w:firstLine="540"/>
        <w:jc w:val="both"/>
      </w:pPr>
      <w:r>
        <w:t>25. В состав жилых районов и микрорайонов должны входить:</w:t>
      </w:r>
    </w:p>
    <w:p w:rsidR="007D4BA9" w:rsidRDefault="007D4BA9">
      <w:pPr>
        <w:pStyle w:val="ConsPlusNormal"/>
        <w:spacing w:before="220"/>
        <w:ind w:firstLine="540"/>
        <w:jc w:val="both"/>
      </w:pPr>
      <w:r>
        <w:t>1) объекты социальной инфраструктуры;</w:t>
      </w:r>
    </w:p>
    <w:p w:rsidR="007D4BA9" w:rsidRDefault="007D4BA9">
      <w:pPr>
        <w:pStyle w:val="ConsPlusNormal"/>
        <w:spacing w:before="220"/>
        <w:ind w:firstLine="540"/>
        <w:jc w:val="both"/>
      </w:pPr>
      <w:r>
        <w:t xml:space="preserve">2) места хранения и </w:t>
      </w:r>
      <w:proofErr w:type="spellStart"/>
      <w:r>
        <w:t>паркирования</w:t>
      </w:r>
      <w:proofErr w:type="spellEnd"/>
      <w:r>
        <w:t xml:space="preserve"> легкового автотранспорта жителей;</w:t>
      </w:r>
    </w:p>
    <w:p w:rsidR="007D4BA9" w:rsidRDefault="007D4BA9">
      <w:pPr>
        <w:pStyle w:val="ConsPlusNormal"/>
        <w:spacing w:before="220"/>
        <w:ind w:firstLine="540"/>
        <w:jc w:val="both"/>
      </w:pPr>
      <w:r>
        <w:t xml:space="preserve">3) места </w:t>
      </w:r>
      <w:proofErr w:type="spellStart"/>
      <w:r>
        <w:t>паркирования</w:t>
      </w:r>
      <w:proofErr w:type="spellEnd"/>
      <w:r>
        <w:t xml:space="preserve"> легкового автотранспорта работающих и посетителей объектов социальной инфраструктуры, расположенных на территории жилого района;</w:t>
      </w:r>
    </w:p>
    <w:p w:rsidR="007D4BA9" w:rsidRDefault="007D4BA9">
      <w:pPr>
        <w:pStyle w:val="ConsPlusNormal"/>
        <w:spacing w:before="220"/>
        <w:ind w:firstLine="540"/>
        <w:jc w:val="both"/>
      </w:pPr>
      <w:r>
        <w:t>4) подъезды к участкам застройки, в том числе для специализированного автомобильного транспорта (пожарного, скорой помощи, иного специализированного транспорта);</w:t>
      </w:r>
    </w:p>
    <w:p w:rsidR="007D4BA9" w:rsidRDefault="007D4BA9">
      <w:pPr>
        <w:pStyle w:val="ConsPlusNormal"/>
        <w:spacing w:before="220"/>
        <w:ind w:firstLine="540"/>
        <w:jc w:val="both"/>
      </w:pPr>
      <w:r>
        <w:t>5) пешеходные коммуникации для обеспечения передвижения населения по территории жилого района;</w:t>
      </w:r>
    </w:p>
    <w:p w:rsidR="007D4BA9" w:rsidRDefault="007D4BA9">
      <w:pPr>
        <w:pStyle w:val="ConsPlusNormal"/>
        <w:spacing w:before="220"/>
        <w:ind w:firstLine="540"/>
        <w:jc w:val="both"/>
      </w:pPr>
      <w:r>
        <w:lastRenderedPageBreak/>
        <w:t>6) открытые плоскостные физкультурно-спортивные сооружения;</w:t>
      </w:r>
    </w:p>
    <w:p w:rsidR="007D4BA9" w:rsidRDefault="007D4BA9">
      <w:pPr>
        <w:pStyle w:val="ConsPlusNormal"/>
        <w:spacing w:before="220"/>
        <w:ind w:firstLine="540"/>
        <w:jc w:val="both"/>
      </w:pPr>
      <w:r>
        <w:t xml:space="preserve">7) </w:t>
      </w:r>
      <w:proofErr w:type="spellStart"/>
      <w:r>
        <w:t>пешеходно</w:t>
      </w:r>
      <w:proofErr w:type="spellEnd"/>
      <w:r>
        <w:t xml:space="preserve">-велосипедная инфраструктура с учетом соблюдения требований организации </w:t>
      </w:r>
      <w:proofErr w:type="spellStart"/>
      <w:r>
        <w:t>безбарьерной</w:t>
      </w:r>
      <w:proofErr w:type="spellEnd"/>
      <w:r>
        <w:t xml:space="preserve"> среды для маломобильных групп населения;</w:t>
      </w:r>
    </w:p>
    <w:p w:rsidR="007D4BA9" w:rsidRDefault="007D4BA9">
      <w:pPr>
        <w:pStyle w:val="ConsPlusNormal"/>
        <w:spacing w:before="220"/>
        <w:ind w:firstLine="540"/>
        <w:jc w:val="both"/>
      </w:pPr>
      <w:r>
        <w:t>8) объекты делового назначения, включая объекты религиозного назначения, при условии, что размер территории участка объекта не превышает 0,5 га, суммарная территория участков объектов составляет не более 20 процентов от территории жилого района, а доля суммарной площади застройки указанных объектов - не более 25 процентов от суммарной площади застройки на территории жилого района и не более 60 процентов от площади территории районов смешанной застройки;</w:t>
      </w:r>
    </w:p>
    <w:p w:rsidR="007D4BA9" w:rsidRDefault="007D4BA9">
      <w:pPr>
        <w:pStyle w:val="ConsPlusNormal"/>
        <w:spacing w:before="220"/>
        <w:ind w:firstLine="540"/>
        <w:jc w:val="both"/>
      </w:pPr>
      <w:r>
        <w:t>9) озелененные территории общего пользования (парки, сады, скверы, бульвары), в том числе площадки для выгула собак. Размеры площадок для выгула собак определяются исходя из имеющихся территориальных возможностей;</w:t>
      </w:r>
    </w:p>
    <w:p w:rsidR="007D4BA9" w:rsidRDefault="007D4BA9">
      <w:pPr>
        <w:pStyle w:val="ConsPlusNormal"/>
        <w:spacing w:before="220"/>
        <w:ind w:firstLine="540"/>
        <w:jc w:val="both"/>
      </w:pPr>
      <w:r>
        <w:t xml:space="preserve">10) объекты в соответствии с требованиями к организации жилых районов, </w:t>
      </w:r>
      <w:proofErr w:type="gramStart"/>
      <w:r>
        <w:t>микрорайонов  и</w:t>
      </w:r>
      <w:proofErr w:type="gramEnd"/>
      <w:r>
        <w:t xml:space="preserve"> участков жилых домов.</w:t>
      </w:r>
    </w:p>
    <w:p w:rsidR="007D4BA9" w:rsidRDefault="007D4BA9">
      <w:pPr>
        <w:pStyle w:val="ConsPlusNormal"/>
        <w:spacing w:before="220"/>
        <w:ind w:firstLine="540"/>
        <w:jc w:val="both"/>
      </w:pPr>
      <w:r>
        <w:t>26. Максимальная доля нежилых объектов в жилых микрорайонах (комплексах) не должна превышать 30 процентов от жилищного фонда.</w:t>
      </w:r>
    </w:p>
    <w:p w:rsidR="007D4BA9" w:rsidRDefault="007D4BA9">
      <w:pPr>
        <w:pStyle w:val="ConsPlusNormal"/>
        <w:spacing w:before="220"/>
        <w:ind w:firstLine="540"/>
        <w:jc w:val="both"/>
      </w:pPr>
      <w:r>
        <w:t>27. Для расчета проектной численности населения и определения потребности в объектах социальной инфраструктуры и минимальной площади отдельных элементов баланса территории участка (зоны) размещения многоквартирного жилого дома при разработке документации по планировке территорий и проектов застройки в случае многоквартирного жилищного строительства применяется коэффициент 40 кв. м общей площади квартир на одного человека, в случае индивидуального и блокированного жилищного строительства - 3,2 человека на одно домовладение.</w:t>
      </w:r>
    </w:p>
    <w:p w:rsidR="007D4BA9" w:rsidRDefault="007D4BA9">
      <w:pPr>
        <w:pStyle w:val="ConsPlusNormal"/>
        <w:spacing w:before="220"/>
        <w:ind w:firstLine="540"/>
        <w:jc w:val="both"/>
      </w:pPr>
      <w:r>
        <w:t xml:space="preserve">28. На территории жилого микрорайона </w:t>
      </w:r>
      <w:r w:rsidR="007C5BC7">
        <w:t xml:space="preserve"> </w:t>
      </w:r>
      <w:r>
        <w:t xml:space="preserve"> должны быть организованы:</w:t>
      </w:r>
    </w:p>
    <w:p w:rsidR="007D4BA9" w:rsidRDefault="007D4BA9">
      <w:pPr>
        <w:pStyle w:val="ConsPlusNormal"/>
        <w:spacing w:before="220"/>
        <w:ind w:firstLine="540"/>
        <w:jc w:val="both"/>
      </w:pPr>
      <w:r>
        <w:t>1) внутриквартальные проезды;</w:t>
      </w:r>
    </w:p>
    <w:p w:rsidR="007D4BA9" w:rsidRDefault="007D4BA9">
      <w:pPr>
        <w:pStyle w:val="ConsPlusNormal"/>
        <w:spacing w:before="220"/>
        <w:ind w:firstLine="540"/>
        <w:jc w:val="both"/>
      </w:pPr>
      <w:r>
        <w:t>2) озелененные территории общего пользования (парки, сады, скверы, бульвары);</w:t>
      </w:r>
    </w:p>
    <w:p w:rsidR="007D4BA9" w:rsidRDefault="007D4BA9">
      <w:pPr>
        <w:pStyle w:val="ConsPlusNormal"/>
        <w:spacing w:before="220"/>
        <w:ind w:firstLine="540"/>
        <w:jc w:val="both"/>
      </w:pPr>
      <w:r>
        <w:t xml:space="preserve">3) </w:t>
      </w:r>
      <w:proofErr w:type="spellStart"/>
      <w:r>
        <w:t>пешеходно</w:t>
      </w:r>
      <w:proofErr w:type="spellEnd"/>
      <w:r>
        <w:t xml:space="preserve">-велосипедная инфраструктура с учетом соблюдения требований организации </w:t>
      </w:r>
      <w:proofErr w:type="spellStart"/>
      <w:r>
        <w:t>безбарьерной</w:t>
      </w:r>
      <w:proofErr w:type="spellEnd"/>
      <w:r>
        <w:t xml:space="preserve"> среды для маломобильных групп населения.</w:t>
      </w:r>
    </w:p>
    <w:p w:rsidR="007D4BA9" w:rsidRDefault="007D4BA9">
      <w:pPr>
        <w:pStyle w:val="ConsPlusNormal"/>
        <w:spacing w:before="220"/>
        <w:ind w:firstLine="540"/>
        <w:jc w:val="both"/>
      </w:pPr>
      <w:r>
        <w:t xml:space="preserve">29. При комплексном жилищном строительстве на незастроенных территориях при формировании </w:t>
      </w:r>
      <w:proofErr w:type="gramStart"/>
      <w:r>
        <w:t>микрорайонов  должны</w:t>
      </w:r>
      <w:proofErr w:type="gramEnd"/>
      <w:r>
        <w:t xml:space="preserve"> соблюдаться следующие условия:</w:t>
      </w:r>
    </w:p>
    <w:p w:rsidR="007D4BA9" w:rsidRDefault="007D4BA9">
      <w:pPr>
        <w:pStyle w:val="ConsPlusNormal"/>
        <w:spacing w:before="220"/>
        <w:ind w:firstLine="540"/>
        <w:jc w:val="both"/>
      </w:pPr>
      <w:r>
        <w:t xml:space="preserve">1) в проекте планировки территории в границах каждого микрорайона </w:t>
      </w:r>
      <w:r w:rsidR="007C5BC7">
        <w:t xml:space="preserve"> </w:t>
      </w:r>
      <w:r>
        <w:t xml:space="preserve"> должны быть предусмотрены, согласно расчету, образовательные учреждения, при этом образовательные организации могут размещаться не в каждом микрорайоне (комплексе) только при условии соблюдения требований Местных нормативов по расчетному количеству мест и территориальной доступности;</w:t>
      </w:r>
    </w:p>
    <w:p w:rsidR="007D4BA9" w:rsidRDefault="007D4BA9">
      <w:pPr>
        <w:pStyle w:val="ConsPlusNormal"/>
        <w:spacing w:before="220"/>
        <w:ind w:firstLine="540"/>
        <w:jc w:val="both"/>
      </w:pPr>
      <w:r>
        <w:t>2) участки отдельно стоящих многоуровневых паркингов должны размещаться вдоль красной линии и иметь прямой доступ на УДС;</w:t>
      </w:r>
    </w:p>
    <w:p w:rsidR="007D4BA9" w:rsidRDefault="007D4BA9">
      <w:pPr>
        <w:pStyle w:val="ConsPlusNormal"/>
        <w:spacing w:before="220"/>
        <w:ind w:firstLine="540"/>
        <w:jc w:val="both"/>
      </w:pPr>
      <w:r>
        <w:t>3) входные группы встроенно-пристроенных помещений должны располагаться со стороны УДС.</w:t>
      </w:r>
    </w:p>
    <w:p w:rsidR="007D4BA9" w:rsidRDefault="007D4BA9">
      <w:pPr>
        <w:pStyle w:val="ConsPlusNormal"/>
        <w:spacing w:before="220"/>
        <w:ind w:firstLine="540"/>
        <w:jc w:val="both"/>
      </w:pPr>
      <w:r>
        <w:t xml:space="preserve">30. В случае застройки части существующего жилого микрорайона </w:t>
      </w:r>
      <w:r w:rsidR="007C5BC7">
        <w:t xml:space="preserve"> </w:t>
      </w:r>
      <w:r>
        <w:t xml:space="preserve"> разрабатывается проект планировки территории или проект застройки на территорию всего жилого микрорайона </w:t>
      </w:r>
      <w:r w:rsidR="007C5BC7">
        <w:t xml:space="preserve"> </w:t>
      </w:r>
      <w:r>
        <w:t xml:space="preserve"> в </w:t>
      </w:r>
      <w:r>
        <w:lastRenderedPageBreak/>
        <w:t xml:space="preserve">соответствии с параметрами, установленными для данной функциональной зоны в Положении о территориальном планировании Генерального </w:t>
      </w:r>
      <w:hyperlink r:id="rId17">
        <w:r>
          <w:rPr>
            <w:color w:val="0000FF"/>
          </w:rPr>
          <w:t>плана</w:t>
        </w:r>
      </w:hyperlink>
      <w:r>
        <w:t>.</w:t>
      </w:r>
    </w:p>
    <w:p w:rsidR="007D4BA9" w:rsidRDefault="007D4BA9">
      <w:pPr>
        <w:pStyle w:val="ConsPlusNormal"/>
        <w:spacing w:before="220"/>
        <w:ind w:firstLine="540"/>
        <w:jc w:val="both"/>
      </w:pPr>
      <w:r>
        <w:t xml:space="preserve">Нормируемые параметры структурных элементов жилого микрорайона </w:t>
      </w:r>
      <w:r w:rsidR="007C5BC7">
        <w:t xml:space="preserve"> </w:t>
      </w:r>
      <w:r>
        <w:t xml:space="preserve"> представлены в таблице 1.</w:t>
      </w:r>
    </w:p>
    <w:p w:rsidR="007D4BA9" w:rsidRDefault="007D4BA9">
      <w:pPr>
        <w:pStyle w:val="ConsPlusNormal"/>
        <w:jc w:val="both"/>
      </w:pPr>
    </w:p>
    <w:p w:rsidR="007D4BA9" w:rsidRDefault="007D4BA9">
      <w:pPr>
        <w:pStyle w:val="ConsPlusNormal"/>
        <w:jc w:val="right"/>
        <w:outlineLvl w:val="3"/>
      </w:pPr>
      <w:r>
        <w:t>Таблица 1</w:t>
      </w:r>
    </w:p>
    <w:p w:rsidR="007D4BA9" w:rsidRDefault="007D4BA9">
      <w:pPr>
        <w:pStyle w:val="ConsPlusNormal"/>
        <w:jc w:val="both"/>
      </w:pPr>
    </w:p>
    <w:p w:rsidR="007D4BA9" w:rsidRDefault="007D4BA9">
      <w:pPr>
        <w:pStyle w:val="ConsPlusTitle"/>
        <w:jc w:val="center"/>
      </w:pPr>
      <w:r>
        <w:t>Нормируемые параметры структурных элементов</w:t>
      </w:r>
    </w:p>
    <w:p w:rsidR="007D4BA9" w:rsidRDefault="007D4BA9">
      <w:pPr>
        <w:pStyle w:val="ConsPlusTitle"/>
        <w:jc w:val="center"/>
      </w:pPr>
      <w:r>
        <w:t xml:space="preserve">жилого микрорайона </w:t>
      </w:r>
      <w:r w:rsidR="007C5BC7">
        <w:t xml:space="preserve"> </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2"/>
        <w:gridCol w:w="2494"/>
        <w:gridCol w:w="3798"/>
      </w:tblGrid>
      <w:tr w:rsidR="007D4BA9">
        <w:tc>
          <w:tcPr>
            <w:tcW w:w="2722" w:type="dxa"/>
          </w:tcPr>
          <w:p w:rsidR="007D4BA9" w:rsidRDefault="007D4BA9">
            <w:pPr>
              <w:pStyle w:val="ConsPlusNormal"/>
              <w:jc w:val="center"/>
            </w:pPr>
            <w:r>
              <w:t>Нормируемый параметр</w:t>
            </w:r>
          </w:p>
        </w:tc>
        <w:tc>
          <w:tcPr>
            <w:tcW w:w="2494" w:type="dxa"/>
          </w:tcPr>
          <w:p w:rsidR="007D4BA9" w:rsidRDefault="007D4BA9">
            <w:pPr>
              <w:pStyle w:val="ConsPlusNormal"/>
              <w:jc w:val="center"/>
            </w:pPr>
            <w:r>
              <w:t>Единицы измерения</w:t>
            </w:r>
          </w:p>
        </w:tc>
        <w:tc>
          <w:tcPr>
            <w:tcW w:w="3798" w:type="dxa"/>
          </w:tcPr>
          <w:p w:rsidR="007D4BA9" w:rsidRDefault="007D4BA9">
            <w:pPr>
              <w:pStyle w:val="ConsPlusNormal"/>
              <w:jc w:val="center"/>
            </w:pPr>
            <w:r>
              <w:t>Расчетный показатель</w:t>
            </w:r>
          </w:p>
        </w:tc>
      </w:tr>
      <w:tr w:rsidR="007D4BA9">
        <w:tc>
          <w:tcPr>
            <w:tcW w:w="2722" w:type="dxa"/>
          </w:tcPr>
          <w:p w:rsidR="007D4BA9" w:rsidRDefault="007D4BA9">
            <w:pPr>
              <w:pStyle w:val="ConsPlusNormal"/>
              <w:jc w:val="both"/>
            </w:pPr>
            <w:proofErr w:type="spellStart"/>
            <w:r>
              <w:t>Застроенность</w:t>
            </w:r>
            <w:proofErr w:type="spellEnd"/>
            <w:r>
              <w:t xml:space="preserve"> территории жилого микрорайона </w:t>
            </w:r>
            <w:r w:rsidR="007C5BC7">
              <w:t xml:space="preserve"> </w:t>
            </w:r>
          </w:p>
        </w:tc>
        <w:tc>
          <w:tcPr>
            <w:tcW w:w="2494" w:type="dxa"/>
          </w:tcPr>
          <w:p w:rsidR="007D4BA9" w:rsidRDefault="007D4BA9">
            <w:pPr>
              <w:pStyle w:val="ConsPlusNormal"/>
              <w:jc w:val="center"/>
            </w:pPr>
            <w:r>
              <w:t xml:space="preserve">Процент от общей площади микрорайона </w:t>
            </w:r>
            <w:r w:rsidR="007C5BC7">
              <w:t xml:space="preserve"> </w:t>
            </w:r>
          </w:p>
        </w:tc>
        <w:tc>
          <w:tcPr>
            <w:tcW w:w="3798" w:type="dxa"/>
          </w:tcPr>
          <w:p w:rsidR="007D4BA9" w:rsidRDefault="007D4BA9">
            <w:pPr>
              <w:pStyle w:val="ConsPlusNormal"/>
              <w:jc w:val="both"/>
            </w:pPr>
            <w:r>
              <w:t>Не более 40</w:t>
            </w:r>
          </w:p>
          <w:p w:rsidR="007D4BA9" w:rsidRDefault="007D4BA9">
            <w:pPr>
              <w:pStyle w:val="ConsPlusNormal"/>
              <w:jc w:val="both"/>
            </w:pPr>
            <w:r>
              <w:t xml:space="preserve">В соответствии с </w:t>
            </w:r>
            <w:hyperlink r:id="rId18">
              <w:r>
                <w:rPr>
                  <w:color w:val="0000FF"/>
                </w:rPr>
                <w:t>таб. Б1</w:t>
              </w:r>
            </w:hyperlink>
            <w:r>
              <w:t xml:space="preserve"> СП 42.13330.2016</w:t>
            </w:r>
          </w:p>
          <w:p w:rsidR="007D4BA9" w:rsidRDefault="007D4BA9">
            <w:pPr>
              <w:pStyle w:val="ConsPlusNormal"/>
              <w:jc w:val="both"/>
            </w:pPr>
            <w:r>
              <w:t>"Градостроительство. Планировка и застройка городских и сельских поселений" (далее - СП 42.13330.2016)</w:t>
            </w:r>
          </w:p>
        </w:tc>
      </w:tr>
      <w:tr w:rsidR="007D4BA9">
        <w:tc>
          <w:tcPr>
            <w:tcW w:w="2722" w:type="dxa"/>
          </w:tcPr>
          <w:p w:rsidR="007D4BA9" w:rsidRDefault="007D4BA9">
            <w:pPr>
              <w:pStyle w:val="ConsPlusNormal"/>
              <w:jc w:val="both"/>
            </w:pPr>
            <w:r>
              <w:t>Ширина внутриквартальных проездов</w:t>
            </w:r>
          </w:p>
        </w:tc>
        <w:tc>
          <w:tcPr>
            <w:tcW w:w="2494" w:type="dxa"/>
          </w:tcPr>
          <w:p w:rsidR="007D4BA9" w:rsidRDefault="007D4BA9">
            <w:pPr>
              <w:pStyle w:val="ConsPlusNormal"/>
              <w:jc w:val="center"/>
            </w:pPr>
            <w:r>
              <w:t>м</w:t>
            </w:r>
          </w:p>
        </w:tc>
        <w:tc>
          <w:tcPr>
            <w:tcW w:w="3798" w:type="dxa"/>
          </w:tcPr>
          <w:p w:rsidR="007D4BA9" w:rsidRDefault="007D4BA9">
            <w:pPr>
              <w:pStyle w:val="ConsPlusNormal"/>
              <w:jc w:val="both"/>
            </w:pPr>
            <w:r>
              <w:t xml:space="preserve">В соответствии с </w:t>
            </w:r>
            <w:hyperlink r:id="rId19">
              <w:r>
                <w:rPr>
                  <w:color w:val="0000FF"/>
                </w:rPr>
                <w:t>пунктом 8</w:t>
              </w:r>
            </w:hyperlink>
            <w:r>
              <w:t xml:space="preserve"> "Проходы, проезды и подъезды к зданиям и сооружениям" СП 4.13130.2013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tc>
      </w:tr>
    </w:tbl>
    <w:p w:rsidR="007D4BA9" w:rsidRDefault="007D4BA9">
      <w:pPr>
        <w:pStyle w:val="ConsPlusNormal"/>
        <w:jc w:val="both"/>
      </w:pPr>
    </w:p>
    <w:p w:rsidR="007D4BA9" w:rsidRDefault="007D4BA9">
      <w:pPr>
        <w:pStyle w:val="ConsPlusTitle"/>
        <w:jc w:val="center"/>
        <w:outlineLvl w:val="2"/>
      </w:pPr>
      <w:r>
        <w:t>Глава 8. ТРЕБОВАНИЯ К ОРГАНИЗАЦИИ ЗЕМЕЛЬНОГО УЧАСТКА</w:t>
      </w:r>
    </w:p>
    <w:p w:rsidR="007D4BA9" w:rsidRDefault="007D4BA9">
      <w:pPr>
        <w:pStyle w:val="ConsPlusTitle"/>
        <w:jc w:val="center"/>
      </w:pPr>
      <w:r>
        <w:t>МНОГОКВАРТИРНОГО ЖИЛОГО ДОМА</w:t>
      </w:r>
    </w:p>
    <w:p w:rsidR="007D4BA9" w:rsidRDefault="007D4BA9">
      <w:pPr>
        <w:pStyle w:val="ConsPlusNormal"/>
        <w:jc w:val="both"/>
      </w:pPr>
    </w:p>
    <w:p w:rsidR="007D4BA9" w:rsidRDefault="007D4BA9">
      <w:pPr>
        <w:pStyle w:val="ConsPlusNormal"/>
        <w:ind w:firstLine="540"/>
        <w:jc w:val="both"/>
      </w:pPr>
      <w:r>
        <w:t>31. Требования к организации земельного участка многоквартирного жилого дома (зоны планируемого размещения объектов капитального строительства жилого назначения) распространяются на земельные участки объектов нового жилищного строительства.</w:t>
      </w:r>
    </w:p>
    <w:p w:rsidR="007D4BA9" w:rsidRDefault="007D4BA9">
      <w:pPr>
        <w:pStyle w:val="ConsPlusNormal"/>
        <w:spacing w:before="220"/>
        <w:ind w:firstLine="540"/>
        <w:jc w:val="both"/>
      </w:pPr>
      <w:r>
        <w:t xml:space="preserve">32. Нормируемые </w:t>
      </w:r>
      <w:hyperlink w:anchor="P220">
        <w:r>
          <w:rPr>
            <w:color w:val="0000FF"/>
          </w:rPr>
          <w:t>показатели</w:t>
        </w:r>
      </w:hyperlink>
      <w:r>
        <w:t xml:space="preserve"> структурных элементов земельного участка для многоквартирного дома применяются в соответствии с таблицей 2.</w:t>
      </w:r>
    </w:p>
    <w:p w:rsidR="007D4BA9" w:rsidRDefault="007D4BA9">
      <w:pPr>
        <w:pStyle w:val="ConsPlusNormal"/>
        <w:spacing w:before="220"/>
        <w:ind w:firstLine="540"/>
        <w:jc w:val="both"/>
      </w:pPr>
      <w:r>
        <w:t>33. Для многоквартирного жилого дома должны быть организованы:</w:t>
      </w:r>
    </w:p>
    <w:p w:rsidR="007D4BA9" w:rsidRDefault="007D4BA9">
      <w:pPr>
        <w:pStyle w:val="ConsPlusNormal"/>
        <w:spacing w:before="220"/>
        <w:ind w:firstLine="540"/>
        <w:jc w:val="both"/>
      </w:pPr>
      <w:r>
        <w:t>1) подъезды к входным группам, в том числе для специализированного автомобильного транспорта (пожарного, скорой помощи, иного специализированного транспорта);</w:t>
      </w:r>
    </w:p>
    <w:p w:rsidR="007D4BA9" w:rsidRDefault="007D4BA9">
      <w:pPr>
        <w:pStyle w:val="ConsPlusNormal"/>
        <w:spacing w:before="220"/>
        <w:ind w:firstLine="540"/>
        <w:jc w:val="both"/>
      </w:pPr>
      <w:r>
        <w:t>2) пешеходные коммуникации для обеспечения подходов к входным группам жилого здания и передвижения по территории земельного участка;</w:t>
      </w:r>
    </w:p>
    <w:p w:rsidR="007D4BA9" w:rsidRDefault="007D4BA9">
      <w:pPr>
        <w:pStyle w:val="ConsPlusNormal"/>
        <w:spacing w:before="220"/>
        <w:ind w:firstLine="540"/>
        <w:jc w:val="both"/>
      </w:pPr>
      <w:r>
        <w:t xml:space="preserve">3) места хранения и </w:t>
      </w:r>
      <w:proofErr w:type="spellStart"/>
      <w:r>
        <w:t>паркирования</w:t>
      </w:r>
      <w:proofErr w:type="spellEnd"/>
      <w:r>
        <w:t xml:space="preserve"> легкового автотранспорта жителей, за исключением случаев реконструкции жилых домов без изменения параметров;</w:t>
      </w:r>
    </w:p>
    <w:p w:rsidR="007D4BA9" w:rsidRDefault="007D4BA9">
      <w:pPr>
        <w:pStyle w:val="ConsPlusNormal"/>
        <w:spacing w:before="220"/>
        <w:ind w:firstLine="540"/>
        <w:jc w:val="both"/>
      </w:pPr>
      <w:r>
        <w:t xml:space="preserve">4) гостевые автостоянки, места </w:t>
      </w:r>
      <w:proofErr w:type="spellStart"/>
      <w:r>
        <w:t>паркирования</w:t>
      </w:r>
      <w:proofErr w:type="spellEnd"/>
      <w:r>
        <w:t xml:space="preserve"> легкового автотранспорта работающих и посетителей, учреждений и предприятий;</w:t>
      </w:r>
    </w:p>
    <w:p w:rsidR="007D4BA9" w:rsidRDefault="007D4BA9">
      <w:pPr>
        <w:pStyle w:val="ConsPlusNormal"/>
        <w:spacing w:before="220"/>
        <w:ind w:firstLine="540"/>
        <w:jc w:val="both"/>
      </w:pPr>
      <w:r>
        <w:t>5) озелененные придомовые территории;</w:t>
      </w:r>
    </w:p>
    <w:p w:rsidR="007D4BA9" w:rsidRDefault="007D4BA9">
      <w:pPr>
        <w:pStyle w:val="ConsPlusNormal"/>
        <w:spacing w:before="220"/>
        <w:ind w:firstLine="540"/>
        <w:jc w:val="both"/>
      </w:pPr>
      <w:r>
        <w:lastRenderedPageBreak/>
        <w:t>6) детские игровые площадки, площадки для занятий физкультурой, места для отдыха взрослого населения и иные планировочные элементы с применением покрытия в соответствии с действующими техническими регламентами;</w:t>
      </w:r>
    </w:p>
    <w:p w:rsidR="007D4BA9" w:rsidRDefault="007D4BA9">
      <w:pPr>
        <w:pStyle w:val="ConsPlusNormal"/>
        <w:spacing w:before="220"/>
        <w:ind w:firstLine="540"/>
        <w:jc w:val="both"/>
      </w:pPr>
      <w:r>
        <w:t>7) места (площадки) накопления ТКО.</w:t>
      </w:r>
    </w:p>
    <w:p w:rsidR="007D4BA9" w:rsidRDefault="007D4BA9">
      <w:pPr>
        <w:pStyle w:val="ConsPlusNormal"/>
        <w:spacing w:before="220"/>
        <w:ind w:firstLine="540"/>
        <w:jc w:val="both"/>
      </w:pPr>
      <w:r>
        <w:t>34. В границах земельного участка многоквартирного жилого дома (жилых домов) не могут располагаться отдельно стоящие объекты капитального строительства нежилого назначения (за исключением объектов инженерной инфраструктуры, паркингов, непосредственно обслуживающих данный жилой дом (жилые дома)).</w:t>
      </w:r>
    </w:p>
    <w:p w:rsidR="007D4BA9" w:rsidRDefault="007D4BA9">
      <w:pPr>
        <w:pStyle w:val="ConsPlusNormal"/>
        <w:spacing w:before="220"/>
        <w:ind w:firstLine="540"/>
        <w:jc w:val="both"/>
      </w:pPr>
      <w:r>
        <w:t xml:space="preserve">35. Объекты инженерной инфраструктуры жилого </w:t>
      </w:r>
      <w:proofErr w:type="gramStart"/>
      <w:r>
        <w:t xml:space="preserve">микрорайона </w:t>
      </w:r>
      <w:r w:rsidR="007C5BC7">
        <w:t xml:space="preserve"> </w:t>
      </w:r>
      <w:r>
        <w:t>,</w:t>
      </w:r>
      <w:proofErr w:type="gramEnd"/>
      <w:r>
        <w:t xml:space="preserve"> необходимые для функционирования жилых домов в данном микрорайоне (комплексе), должны располагаться на отдельных земельных участках с учетом их охранных зон и обеспечением подъезда к ним с учетом технических коридоров инженерных коммуникаций. При этом технические коридоры внутриквартальных сетей разрешается не выделять красными линиями, в случае если для их строительства и реконструкции не требуется оформления земельного участка и получения разрешения на строительство и реконструкцию.</w:t>
      </w:r>
    </w:p>
    <w:p w:rsidR="007D4BA9" w:rsidRDefault="007D4BA9">
      <w:pPr>
        <w:pStyle w:val="ConsPlusNormal"/>
        <w:jc w:val="both"/>
      </w:pPr>
    </w:p>
    <w:p w:rsidR="007D4BA9" w:rsidRDefault="007D4BA9">
      <w:pPr>
        <w:pStyle w:val="ConsPlusNormal"/>
        <w:jc w:val="right"/>
        <w:outlineLvl w:val="3"/>
      </w:pPr>
      <w:r>
        <w:t>Таблица 2</w:t>
      </w:r>
    </w:p>
    <w:p w:rsidR="007D4BA9" w:rsidRDefault="007D4BA9">
      <w:pPr>
        <w:pStyle w:val="ConsPlusNormal"/>
        <w:jc w:val="both"/>
      </w:pPr>
    </w:p>
    <w:p w:rsidR="007D4BA9" w:rsidRDefault="007D4BA9">
      <w:pPr>
        <w:pStyle w:val="ConsPlusTitle"/>
        <w:jc w:val="center"/>
      </w:pPr>
      <w:bookmarkStart w:id="1" w:name="P220"/>
      <w:bookmarkEnd w:id="1"/>
      <w:r>
        <w:t>Нормируемые показатели структурных элементов</w:t>
      </w:r>
    </w:p>
    <w:p w:rsidR="007D4BA9" w:rsidRDefault="007D4BA9">
      <w:pPr>
        <w:pStyle w:val="ConsPlusTitle"/>
        <w:jc w:val="center"/>
      </w:pPr>
      <w:r>
        <w:t>земельного участка для многоквартирного жилого дома</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22"/>
        <w:gridCol w:w="2494"/>
        <w:gridCol w:w="3798"/>
      </w:tblGrid>
      <w:tr w:rsidR="007D4BA9">
        <w:tc>
          <w:tcPr>
            <w:tcW w:w="2722" w:type="dxa"/>
          </w:tcPr>
          <w:p w:rsidR="007D4BA9" w:rsidRDefault="007D4BA9">
            <w:pPr>
              <w:pStyle w:val="ConsPlusNormal"/>
            </w:pPr>
            <w:r>
              <w:t>Нормируемый параметр</w:t>
            </w:r>
          </w:p>
        </w:tc>
        <w:tc>
          <w:tcPr>
            <w:tcW w:w="2494" w:type="dxa"/>
          </w:tcPr>
          <w:p w:rsidR="007D4BA9" w:rsidRDefault="007D4BA9">
            <w:pPr>
              <w:pStyle w:val="ConsPlusNormal"/>
            </w:pPr>
            <w:r>
              <w:t>Единицы измерения</w:t>
            </w:r>
          </w:p>
        </w:tc>
        <w:tc>
          <w:tcPr>
            <w:tcW w:w="3798" w:type="dxa"/>
          </w:tcPr>
          <w:p w:rsidR="007D4BA9" w:rsidRDefault="007D4BA9">
            <w:pPr>
              <w:pStyle w:val="ConsPlusNormal"/>
            </w:pPr>
            <w:r>
              <w:t>Расчетный показатель</w:t>
            </w:r>
          </w:p>
        </w:tc>
      </w:tr>
      <w:tr w:rsidR="007D4BA9">
        <w:tc>
          <w:tcPr>
            <w:tcW w:w="2722" w:type="dxa"/>
          </w:tcPr>
          <w:p w:rsidR="007D4BA9" w:rsidRDefault="007D4BA9">
            <w:pPr>
              <w:pStyle w:val="ConsPlusNormal"/>
            </w:pPr>
            <w:r>
              <w:t>Озелененные придомовые территории</w:t>
            </w:r>
          </w:p>
        </w:tc>
        <w:tc>
          <w:tcPr>
            <w:tcW w:w="2494" w:type="dxa"/>
          </w:tcPr>
          <w:p w:rsidR="007D4BA9" w:rsidRDefault="007D4BA9">
            <w:pPr>
              <w:pStyle w:val="ConsPlusNormal"/>
            </w:pPr>
            <w:r>
              <w:t>земельный участок</w:t>
            </w:r>
          </w:p>
        </w:tc>
        <w:tc>
          <w:tcPr>
            <w:tcW w:w="3798" w:type="dxa"/>
          </w:tcPr>
          <w:p w:rsidR="007D4BA9" w:rsidRDefault="007D4BA9">
            <w:pPr>
              <w:pStyle w:val="ConsPlusNormal"/>
            </w:pPr>
            <w:r>
              <w:t xml:space="preserve">не менее 25 процентов от площади земельного участка </w:t>
            </w:r>
            <w:hyperlink w:anchor="P234">
              <w:r>
                <w:rPr>
                  <w:color w:val="0000FF"/>
                </w:rPr>
                <w:t>&lt;*&gt;</w:t>
              </w:r>
            </w:hyperlink>
          </w:p>
        </w:tc>
      </w:tr>
      <w:tr w:rsidR="007D4BA9">
        <w:tc>
          <w:tcPr>
            <w:tcW w:w="2722" w:type="dxa"/>
          </w:tcPr>
          <w:p w:rsidR="007D4BA9" w:rsidRDefault="007D4BA9">
            <w:pPr>
              <w:pStyle w:val="ConsPlusNormal"/>
            </w:pPr>
            <w:r>
              <w:t>Социально-бытовые площадки и иные планировочные элементы</w:t>
            </w:r>
          </w:p>
        </w:tc>
        <w:tc>
          <w:tcPr>
            <w:tcW w:w="2494" w:type="dxa"/>
          </w:tcPr>
          <w:p w:rsidR="007D4BA9" w:rsidRDefault="007D4BA9">
            <w:pPr>
              <w:pStyle w:val="ConsPlusNormal"/>
            </w:pPr>
            <w:r>
              <w:t>земельный участок</w:t>
            </w:r>
          </w:p>
        </w:tc>
        <w:tc>
          <w:tcPr>
            <w:tcW w:w="3798" w:type="dxa"/>
          </w:tcPr>
          <w:p w:rsidR="007D4BA9" w:rsidRDefault="007D4BA9">
            <w:pPr>
              <w:pStyle w:val="ConsPlusNormal"/>
              <w:jc w:val="both"/>
            </w:pPr>
            <w:r>
              <w:t>Детские игровые площадки, площадки для отдыха взрослого населения, площадки для занятий физкультурой - общая площадь не должна занимать менее 10 процентов от площади земельного участка &lt;*&gt;</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2" w:name="P234"/>
      <w:bookmarkEnd w:id="2"/>
      <w:r>
        <w:t xml:space="preserve">&lt;*&gt; Расчетный показатель принимается в соответствии с </w:t>
      </w:r>
      <w:hyperlink r:id="rId20">
        <w:r>
          <w:rPr>
            <w:color w:val="0000FF"/>
          </w:rPr>
          <w:t>СП 42.13330.2016</w:t>
        </w:r>
      </w:hyperlink>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1. В площадь озелененной придомовой территории кроме озеленения на поверхности земельного участка включается площадь озеленения озелененной кровли стилобата. Крупномерные лиственные зеленые насаждения в площадь озеленения включаются из расчета:</w:t>
      </w:r>
    </w:p>
    <w:p w:rsidR="007D4BA9" w:rsidRDefault="007D4BA9">
      <w:pPr>
        <w:pStyle w:val="ConsPlusNormal"/>
        <w:spacing w:before="220"/>
        <w:ind w:firstLine="540"/>
        <w:jc w:val="both"/>
      </w:pPr>
      <w:r>
        <w:t>1) для посадочного материала с диаметром ствола от 4 до 8 см - 12 кв. м озелененных территорий на одно дерево;</w:t>
      </w:r>
    </w:p>
    <w:p w:rsidR="007D4BA9" w:rsidRDefault="007D4BA9">
      <w:pPr>
        <w:pStyle w:val="ConsPlusNormal"/>
        <w:spacing w:before="220"/>
        <w:ind w:firstLine="540"/>
        <w:jc w:val="both"/>
      </w:pPr>
      <w:r>
        <w:t>2) для посадочного материала с диаметром ствола от 8 до 16 см - 20 кв. м озелененных территорий на одно дерево;</w:t>
      </w:r>
    </w:p>
    <w:p w:rsidR="007D4BA9" w:rsidRDefault="007D4BA9">
      <w:pPr>
        <w:pStyle w:val="ConsPlusNormal"/>
        <w:spacing w:before="220"/>
        <w:ind w:firstLine="540"/>
        <w:jc w:val="both"/>
      </w:pPr>
      <w:r>
        <w:t>3) для кустарника - из расчета 2 кв. м высотой 2 м и более, 1 кв. м высотой от 1 до 2 м;</w:t>
      </w:r>
    </w:p>
    <w:p w:rsidR="007D4BA9" w:rsidRDefault="007D4BA9">
      <w:pPr>
        <w:pStyle w:val="ConsPlusNormal"/>
        <w:spacing w:before="220"/>
        <w:ind w:firstLine="540"/>
        <w:jc w:val="both"/>
      </w:pPr>
      <w:r>
        <w:t xml:space="preserve">4) для сохраняемых в границах земельного участка существующих крупномерных зеленых </w:t>
      </w:r>
      <w:r>
        <w:lastRenderedPageBreak/>
        <w:t>насаждений с диаметром ствола более 16 см - 40 кв. м на одно дерево.</w:t>
      </w:r>
    </w:p>
    <w:p w:rsidR="007D4BA9" w:rsidRDefault="007D4BA9">
      <w:pPr>
        <w:pStyle w:val="ConsPlusNormal"/>
        <w:spacing w:before="220"/>
        <w:ind w:firstLine="540"/>
        <w:jc w:val="both"/>
      </w:pPr>
      <w:r>
        <w:t>2. В площадь озелененной придомовой территории включается проезд с применением усиленного газона, используемый только для организации пожаротушения. Иные озелененные проезды в площадь озелененной придомовой территории не включаются.</w:t>
      </w:r>
    </w:p>
    <w:p w:rsidR="007D4BA9" w:rsidRDefault="007D4BA9">
      <w:pPr>
        <w:pStyle w:val="ConsPlusNormal"/>
        <w:spacing w:before="220"/>
        <w:ind w:firstLine="540"/>
        <w:jc w:val="both"/>
      </w:pPr>
      <w:r>
        <w:t>3. В площадь озелененной придомовой территории включаются (но не более 5 процентов от расчетного количества) экологические зеленые парковки при условии представления в эскизном предложении информации о технологии их организации, возможности реализации, качестве материалов.</w:t>
      </w:r>
    </w:p>
    <w:p w:rsidR="007D4BA9" w:rsidRDefault="007D4BA9">
      <w:pPr>
        <w:pStyle w:val="ConsPlusNormal"/>
        <w:spacing w:before="220"/>
        <w:ind w:firstLine="540"/>
        <w:jc w:val="both"/>
      </w:pPr>
      <w:r>
        <w:t>4. Расчетное количество озелененных придомовых территорий подлежат сокращению (но не более чем на 30 процентов) при наличии общественных озелененных территорий (парки, сады, скверы, бульвары), расположенных в радиусе 500 м или пешеходной доступности 800 м. В случае примыкания земельного участка жилой застройки к общественным озелененным территориям (парки, сады, скверы, бульвары) и/или его нахождения в радиусе 50 м от таких территорий площадь озелененной придомовой территории сокращается на 50 процентов.</w:t>
      </w:r>
    </w:p>
    <w:p w:rsidR="007D4BA9" w:rsidRDefault="007D4BA9">
      <w:pPr>
        <w:pStyle w:val="ConsPlusNormal"/>
        <w:spacing w:before="220"/>
        <w:ind w:firstLine="540"/>
        <w:jc w:val="both"/>
      </w:pPr>
      <w:r>
        <w:t xml:space="preserve">5. В случае наличия в радиусе доступности не более 500 м или пешеходной доступности 800 м сквера, парка с обустроенной физкультурно-оздоровительной зоной (тренажеры, площадка </w:t>
      </w:r>
      <w:proofErr w:type="spellStart"/>
      <w:r>
        <w:t>воркаута</w:t>
      </w:r>
      <w:proofErr w:type="spellEnd"/>
      <w:r>
        <w:t>, обустроенные дорожки с беговым маршрутом) разрешается уменьшать удельные размеры площадок для занятий физкультурой на 50 процентов.</w:t>
      </w:r>
    </w:p>
    <w:p w:rsidR="007D4BA9" w:rsidRDefault="007D4BA9">
      <w:pPr>
        <w:pStyle w:val="ConsPlusNormal"/>
        <w:spacing w:before="220"/>
        <w:ind w:firstLine="540"/>
        <w:jc w:val="both"/>
      </w:pPr>
      <w:r>
        <w:t>6. Общий процент сокращений не должен превышать 60 процентов от нормативного.</w:t>
      </w:r>
    </w:p>
    <w:p w:rsidR="007D4BA9" w:rsidRDefault="007D4BA9">
      <w:pPr>
        <w:pStyle w:val="ConsPlusNormal"/>
        <w:spacing w:before="220"/>
        <w:ind w:firstLine="540"/>
        <w:jc w:val="both"/>
      </w:pPr>
      <w:r>
        <w:t>7. Необходимо при проектировании жилых домов и объектов, предназначенных для обслуживания жилой застройки, предусматривать разрывы от открытых автостоянок постоянного хранения и паркингов для хранения легкового автотранспорта до объектов застройки. Параметры санитарных и бытовых разрывов указаны в таблице 3.</w:t>
      </w:r>
    </w:p>
    <w:p w:rsidR="007D4BA9" w:rsidRDefault="007D4BA9">
      <w:pPr>
        <w:pStyle w:val="ConsPlusNormal"/>
        <w:jc w:val="both"/>
      </w:pPr>
    </w:p>
    <w:p w:rsidR="007D4BA9" w:rsidRDefault="007D4BA9">
      <w:pPr>
        <w:pStyle w:val="ConsPlusNormal"/>
        <w:jc w:val="right"/>
        <w:outlineLvl w:val="3"/>
      </w:pPr>
      <w:r>
        <w:t>Таблица 3</w:t>
      </w:r>
    </w:p>
    <w:p w:rsidR="007D4BA9" w:rsidRDefault="007D4BA9">
      <w:pPr>
        <w:pStyle w:val="ConsPlusNormal"/>
        <w:jc w:val="both"/>
      </w:pPr>
    </w:p>
    <w:p w:rsidR="007D4BA9" w:rsidRDefault="007D4BA9">
      <w:pPr>
        <w:pStyle w:val="ConsPlusTitle"/>
        <w:jc w:val="center"/>
      </w:pPr>
      <w:r>
        <w:t>Параметры санитарных и бытовых разрывов</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762"/>
        <w:gridCol w:w="4252"/>
      </w:tblGrid>
      <w:tr w:rsidR="007D4BA9">
        <w:tc>
          <w:tcPr>
            <w:tcW w:w="4762" w:type="dxa"/>
          </w:tcPr>
          <w:p w:rsidR="007D4BA9" w:rsidRDefault="007D4BA9">
            <w:pPr>
              <w:pStyle w:val="ConsPlusNormal"/>
              <w:jc w:val="center"/>
            </w:pPr>
            <w:r>
              <w:t>Нормируемый параметр</w:t>
            </w:r>
          </w:p>
        </w:tc>
        <w:tc>
          <w:tcPr>
            <w:tcW w:w="4252" w:type="dxa"/>
          </w:tcPr>
          <w:p w:rsidR="007D4BA9" w:rsidRDefault="007D4BA9">
            <w:pPr>
              <w:pStyle w:val="ConsPlusNormal"/>
              <w:jc w:val="center"/>
            </w:pPr>
            <w:r>
              <w:t xml:space="preserve">Расчетный показатель </w:t>
            </w:r>
            <w:hyperlink w:anchor="P305">
              <w:r>
                <w:rPr>
                  <w:color w:val="0000FF"/>
                </w:rPr>
                <w:t>&lt;*&gt;</w:t>
              </w:r>
            </w:hyperlink>
          </w:p>
        </w:tc>
      </w:tr>
      <w:tr w:rsidR="007D4BA9">
        <w:tc>
          <w:tcPr>
            <w:tcW w:w="9014" w:type="dxa"/>
            <w:gridSpan w:val="2"/>
          </w:tcPr>
          <w:p w:rsidR="007D4BA9" w:rsidRDefault="007D4BA9">
            <w:pPr>
              <w:pStyle w:val="ConsPlusNormal"/>
              <w:jc w:val="center"/>
              <w:outlineLvl w:val="3"/>
            </w:pPr>
            <w:r>
              <w:t>Разрыв от открытых автостоянок постоянного хранения и паркингов для хранения легкового автотранспорта до объектов застройки</w:t>
            </w:r>
          </w:p>
        </w:tc>
      </w:tr>
      <w:tr w:rsidR="007D4BA9">
        <w:tc>
          <w:tcPr>
            <w:tcW w:w="4762" w:type="dxa"/>
            <w:vMerge w:val="restart"/>
          </w:tcPr>
          <w:p w:rsidR="007D4BA9" w:rsidRDefault="007D4BA9">
            <w:pPr>
              <w:pStyle w:val="ConsPlusNormal"/>
            </w:pPr>
            <w:r>
              <w:t>Фасады жилых домов и торцы с окнами</w:t>
            </w:r>
          </w:p>
        </w:tc>
        <w:tc>
          <w:tcPr>
            <w:tcW w:w="4252" w:type="dxa"/>
          </w:tcPr>
          <w:p w:rsidR="007D4BA9" w:rsidRDefault="007D4BA9">
            <w:pPr>
              <w:pStyle w:val="ConsPlusNormal"/>
            </w:pPr>
            <w:r>
              <w:t xml:space="preserve">10 и менее </w:t>
            </w:r>
            <w:proofErr w:type="spellStart"/>
            <w:r>
              <w:t>машино</w:t>
            </w:r>
            <w:proofErr w:type="spellEnd"/>
            <w:r>
              <w:t>-мест - 10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11 - 50 </w:t>
            </w:r>
            <w:proofErr w:type="spellStart"/>
            <w:r>
              <w:t>машино</w:t>
            </w:r>
            <w:proofErr w:type="spellEnd"/>
            <w:r>
              <w:t>-мест - 15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51 - 100 </w:t>
            </w:r>
            <w:proofErr w:type="spellStart"/>
            <w:r>
              <w:t>машино</w:t>
            </w:r>
            <w:proofErr w:type="spellEnd"/>
            <w:r>
              <w:t>-мест - 25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101 - 300 </w:t>
            </w:r>
            <w:proofErr w:type="spellStart"/>
            <w:r>
              <w:t>машино</w:t>
            </w:r>
            <w:proofErr w:type="spellEnd"/>
            <w:r>
              <w:t>-мест - 35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свыше 300 </w:t>
            </w:r>
            <w:proofErr w:type="spellStart"/>
            <w:r>
              <w:t>машино</w:t>
            </w:r>
            <w:proofErr w:type="spellEnd"/>
            <w:r>
              <w:t>-мест - 50 м</w:t>
            </w:r>
          </w:p>
        </w:tc>
      </w:tr>
      <w:tr w:rsidR="007D4BA9">
        <w:tc>
          <w:tcPr>
            <w:tcW w:w="4762" w:type="dxa"/>
            <w:vMerge w:val="restart"/>
          </w:tcPr>
          <w:p w:rsidR="007D4BA9" w:rsidRDefault="007D4BA9">
            <w:pPr>
              <w:pStyle w:val="ConsPlusNormal"/>
            </w:pPr>
            <w:r>
              <w:t>Торцы жилых домов без окон</w:t>
            </w:r>
          </w:p>
        </w:tc>
        <w:tc>
          <w:tcPr>
            <w:tcW w:w="4252" w:type="dxa"/>
          </w:tcPr>
          <w:p w:rsidR="007D4BA9" w:rsidRDefault="007D4BA9">
            <w:pPr>
              <w:pStyle w:val="ConsPlusNormal"/>
            </w:pPr>
            <w:r>
              <w:t xml:space="preserve">10 и менее </w:t>
            </w:r>
            <w:proofErr w:type="spellStart"/>
            <w:r>
              <w:t>машино</w:t>
            </w:r>
            <w:proofErr w:type="spellEnd"/>
            <w:r>
              <w:t>-мест - 10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11 - 50 </w:t>
            </w:r>
            <w:proofErr w:type="spellStart"/>
            <w:r>
              <w:t>машино</w:t>
            </w:r>
            <w:proofErr w:type="spellEnd"/>
            <w:r>
              <w:t>-мест - 10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51 - 100 </w:t>
            </w:r>
            <w:proofErr w:type="spellStart"/>
            <w:r>
              <w:t>машино</w:t>
            </w:r>
            <w:proofErr w:type="spellEnd"/>
            <w:r>
              <w:t>-мест - 15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101 - 300 </w:t>
            </w:r>
            <w:proofErr w:type="spellStart"/>
            <w:r>
              <w:t>машино</w:t>
            </w:r>
            <w:proofErr w:type="spellEnd"/>
            <w:r>
              <w:t>-мест - 25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свыше 300 </w:t>
            </w:r>
            <w:proofErr w:type="spellStart"/>
            <w:r>
              <w:t>машино</w:t>
            </w:r>
            <w:proofErr w:type="spellEnd"/>
            <w:r>
              <w:t>-мест - 35 м</w:t>
            </w:r>
          </w:p>
        </w:tc>
      </w:tr>
      <w:tr w:rsidR="007D4BA9">
        <w:tc>
          <w:tcPr>
            <w:tcW w:w="4762" w:type="dxa"/>
            <w:vMerge w:val="restart"/>
          </w:tcPr>
          <w:p w:rsidR="007D4BA9" w:rsidRDefault="007D4BA9">
            <w:pPr>
              <w:pStyle w:val="ConsPlusNormal"/>
              <w:jc w:val="both"/>
            </w:pPr>
            <w:r>
              <w:lastRenderedPageBreak/>
              <w:t>Территории школ, детских организаций, организаций среднего профессионального образования, техникумов, площадок для отдыха, игр и спорта, детских площадок</w:t>
            </w:r>
          </w:p>
        </w:tc>
        <w:tc>
          <w:tcPr>
            <w:tcW w:w="4252" w:type="dxa"/>
          </w:tcPr>
          <w:p w:rsidR="007D4BA9" w:rsidRDefault="007D4BA9">
            <w:pPr>
              <w:pStyle w:val="ConsPlusNormal"/>
            </w:pPr>
            <w:r>
              <w:t xml:space="preserve">10 и менее </w:t>
            </w:r>
            <w:proofErr w:type="spellStart"/>
            <w:r>
              <w:t>машино</w:t>
            </w:r>
            <w:proofErr w:type="spellEnd"/>
            <w:r>
              <w:t>-мест - 25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свыше 11 </w:t>
            </w:r>
            <w:proofErr w:type="spellStart"/>
            <w:r>
              <w:t>машино</w:t>
            </w:r>
            <w:proofErr w:type="spellEnd"/>
            <w:r>
              <w:t>-мест - 50 м</w:t>
            </w:r>
          </w:p>
        </w:tc>
      </w:tr>
      <w:tr w:rsidR="007D4BA9">
        <w:tc>
          <w:tcPr>
            <w:tcW w:w="4762" w:type="dxa"/>
            <w:vMerge w:val="restart"/>
          </w:tcPr>
          <w:p w:rsidR="007D4BA9" w:rsidRDefault="007D4BA9">
            <w:pPr>
              <w:pStyle w:val="ConsPlusNormal"/>
              <w:jc w:val="both"/>
            </w:pPr>
            <w: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4252" w:type="dxa"/>
          </w:tcPr>
          <w:p w:rsidR="007D4BA9" w:rsidRDefault="007D4BA9">
            <w:pPr>
              <w:pStyle w:val="ConsPlusNormal"/>
            </w:pPr>
            <w:r>
              <w:t xml:space="preserve">10 и менее </w:t>
            </w:r>
            <w:proofErr w:type="spellStart"/>
            <w:r>
              <w:t>машино</w:t>
            </w:r>
            <w:proofErr w:type="spellEnd"/>
            <w:r>
              <w:t>-мест - 25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11 - 50 </w:t>
            </w:r>
            <w:proofErr w:type="spellStart"/>
            <w:r>
              <w:t>машино</w:t>
            </w:r>
            <w:proofErr w:type="spellEnd"/>
            <w:r>
              <w:t>-мест - 50 м</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51 - 100 </w:t>
            </w:r>
            <w:proofErr w:type="spellStart"/>
            <w:r>
              <w:t>машино</w:t>
            </w:r>
            <w:proofErr w:type="spellEnd"/>
            <w:r>
              <w:t>-мест - по расчету</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101 - 300 </w:t>
            </w:r>
            <w:proofErr w:type="spellStart"/>
            <w:r>
              <w:t>машино</w:t>
            </w:r>
            <w:proofErr w:type="spellEnd"/>
            <w:r>
              <w:t>-мест - по расчету</w:t>
            </w:r>
          </w:p>
        </w:tc>
      </w:tr>
      <w:tr w:rsidR="007D4BA9">
        <w:tc>
          <w:tcPr>
            <w:tcW w:w="4762" w:type="dxa"/>
            <w:vMerge/>
          </w:tcPr>
          <w:p w:rsidR="007D4BA9" w:rsidRDefault="007D4BA9">
            <w:pPr>
              <w:pStyle w:val="ConsPlusNormal"/>
            </w:pPr>
          </w:p>
        </w:tc>
        <w:tc>
          <w:tcPr>
            <w:tcW w:w="4252" w:type="dxa"/>
          </w:tcPr>
          <w:p w:rsidR="007D4BA9" w:rsidRDefault="007D4BA9">
            <w:pPr>
              <w:pStyle w:val="ConsPlusNormal"/>
            </w:pPr>
            <w:r>
              <w:t xml:space="preserve">свыше 300 </w:t>
            </w:r>
            <w:proofErr w:type="spellStart"/>
            <w:r>
              <w:t>машино</w:t>
            </w:r>
            <w:proofErr w:type="spellEnd"/>
            <w:r>
              <w:t>-мест - по расчету</w:t>
            </w:r>
          </w:p>
        </w:tc>
      </w:tr>
      <w:tr w:rsidR="007D4BA9">
        <w:tc>
          <w:tcPr>
            <w:tcW w:w="4762" w:type="dxa"/>
          </w:tcPr>
          <w:p w:rsidR="007D4BA9" w:rsidRDefault="007D4BA9">
            <w:pPr>
              <w:pStyle w:val="ConsPlusNormal"/>
              <w:jc w:val="both"/>
            </w:pPr>
            <w:r>
              <w:t>Расстояние от въезда-выезда и от вентиляционных шахт подземных, полуподземных и обвалованных гаражей, паркингов до территорий школ, дошкольных образовательных организаций (далее - ДОО), лечебно-профилактических учреждений, жилых домов, площадок отдыха</w:t>
            </w:r>
          </w:p>
        </w:tc>
        <w:tc>
          <w:tcPr>
            <w:tcW w:w="4252" w:type="dxa"/>
          </w:tcPr>
          <w:p w:rsidR="007D4BA9" w:rsidRDefault="007D4BA9">
            <w:pPr>
              <w:pStyle w:val="ConsPlusNormal"/>
            </w:pPr>
            <w:r>
              <w:t>не менее 15 м</w:t>
            </w:r>
          </w:p>
        </w:tc>
      </w:tr>
      <w:tr w:rsidR="007D4BA9">
        <w:tc>
          <w:tcPr>
            <w:tcW w:w="9014" w:type="dxa"/>
            <w:gridSpan w:val="2"/>
          </w:tcPr>
          <w:p w:rsidR="007D4BA9" w:rsidRDefault="007D4BA9">
            <w:pPr>
              <w:pStyle w:val="ConsPlusNormal"/>
              <w:jc w:val="center"/>
              <w:outlineLvl w:val="3"/>
            </w:pPr>
            <w:r>
              <w:t>Расстояние от площадок общего пользования различного назначения до окон жилых и общественных зданий</w:t>
            </w:r>
          </w:p>
        </w:tc>
      </w:tr>
      <w:tr w:rsidR="007D4BA9">
        <w:tc>
          <w:tcPr>
            <w:tcW w:w="4762" w:type="dxa"/>
          </w:tcPr>
          <w:p w:rsidR="007D4BA9" w:rsidRDefault="007D4BA9">
            <w:pPr>
              <w:pStyle w:val="ConsPlusNormal"/>
            </w:pPr>
            <w:r>
              <w:t>Для игр детей дошкольного и младшего школьного возраста</w:t>
            </w:r>
          </w:p>
        </w:tc>
        <w:tc>
          <w:tcPr>
            <w:tcW w:w="4252" w:type="dxa"/>
          </w:tcPr>
          <w:p w:rsidR="007D4BA9" w:rsidRDefault="007D4BA9">
            <w:pPr>
              <w:pStyle w:val="ConsPlusNormal"/>
            </w:pPr>
            <w:r>
              <w:t>не менее 12 м</w:t>
            </w:r>
          </w:p>
        </w:tc>
      </w:tr>
      <w:tr w:rsidR="007D4BA9">
        <w:tc>
          <w:tcPr>
            <w:tcW w:w="4762" w:type="dxa"/>
          </w:tcPr>
          <w:p w:rsidR="007D4BA9" w:rsidRDefault="007D4BA9">
            <w:pPr>
              <w:pStyle w:val="ConsPlusNormal"/>
            </w:pPr>
            <w:r>
              <w:t>Для отдыха взрослого населения</w:t>
            </w:r>
          </w:p>
        </w:tc>
        <w:tc>
          <w:tcPr>
            <w:tcW w:w="4252" w:type="dxa"/>
          </w:tcPr>
          <w:p w:rsidR="007D4BA9" w:rsidRDefault="007D4BA9">
            <w:pPr>
              <w:pStyle w:val="ConsPlusNormal"/>
            </w:pPr>
            <w:r>
              <w:t>не менее 10 м</w:t>
            </w:r>
          </w:p>
        </w:tc>
      </w:tr>
      <w:tr w:rsidR="007D4BA9">
        <w:tc>
          <w:tcPr>
            <w:tcW w:w="4762" w:type="dxa"/>
          </w:tcPr>
          <w:p w:rsidR="007D4BA9" w:rsidRDefault="007D4BA9">
            <w:pPr>
              <w:pStyle w:val="ConsPlusNormal"/>
            </w:pPr>
            <w:r>
              <w:t>Для хозяйственных целей</w:t>
            </w:r>
          </w:p>
        </w:tc>
        <w:tc>
          <w:tcPr>
            <w:tcW w:w="4252" w:type="dxa"/>
          </w:tcPr>
          <w:p w:rsidR="007D4BA9" w:rsidRDefault="007D4BA9">
            <w:pPr>
              <w:pStyle w:val="ConsPlusNormal"/>
            </w:pPr>
            <w:r>
              <w:t>не менее 20 м</w:t>
            </w:r>
          </w:p>
        </w:tc>
      </w:tr>
      <w:tr w:rsidR="007D4BA9">
        <w:tc>
          <w:tcPr>
            <w:tcW w:w="4762" w:type="dxa"/>
          </w:tcPr>
          <w:p w:rsidR="007D4BA9" w:rsidRDefault="007D4BA9">
            <w:pPr>
              <w:pStyle w:val="ConsPlusNormal"/>
            </w:pPr>
            <w:r>
              <w:t>Для выгула собак</w:t>
            </w:r>
          </w:p>
        </w:tc>
        <w:tc>
          <w:tcPr>
            <w:tcW w:w="4252" w:type="dxa"/>
          </w:tcPr>
          <w:p w:rsidR="007D4BA9" w:rsidRDefault="007D4BA9">
            <w:pPr>
              <w:pStyle w:val="ConsPlusNormal"/>
            </w:pPr>
            <w:r>
              <w:t>25- 40 м</w:t>
            </w:r>
          </w:p>
        </w:tc>
      </w:tr>
      <w:tr w:rsidR="007D4BA9">
        <w:tc>
          <w:tcPr>
            <w:tcW w:w="4762" w:type="dxa"/>
          </w:tcPr>
          <w:p w:rsidR="007D4BA9" w:rsidRDefault="007D4BA9">
            <w:pPr>
              <w:pStyle w:val="ConsPlusNormal"/>
            </w:pPr>
            <w:r>
              <w:t>Площадки баскетбольные, волейбольные, футбольные, хоккейные</w:t>
            </w:r>
          </w:p>
        </w:tc>
        <w:tc>
          <w:tcPr>
            <w:tcW w:w="4252" w:type="dxa"/>
          </w:tcPr>
          <w:p w:rsidR="007D4BA9" w:rsidRDefault="007D4BA9">
            <w:pPr>
              <w:pStyle w:val="ConsPlusNormal"/>
            </w:pPr>
            <w:r>
              <w:t>не менее 30 м</w:t>
            </w:r>
          </w:p>
        </w:tc>
      </w:tr>
      <w:tr w:rsidR="007D4BA9">
        <w:tc>
          <w:tcPr>
            <w:tcW w:w="4762" w:type="dxa"/>
          </w:tcPr>
          <w:p w:rsidR="007D4BA9" w:rsidRDefault="007D4BA9">
            <w:pPr>
              <w:pStyle w:val="ConsPlusNormal"/>
            </w:pPr>
            <w:r>
              <w:t>Иные спортивные площадки</w:t>
            </w:r>
          </w:p>
        </w:tc>
        <w:tc>
          <w:tcPr>
            <w:tcW w:w="4252" w:type="dxa"/>
          </w:tcPr>
          <w:p w:rsidR="007D4BA9" w:rsidRDefault="007D4BA9">
            <w:pPr>
              <w:pStyle w:val="ConsPlusNormal"/>
            </w:pPr>
            <w:r>
              <w:t>не менее 15 м</w:t>
            </w:r>
          </w:p>
        </w:tc>
      </w:tr>
      <w:tr w:rsidR="007D4BA9">
        <w:tc>
          <w:tcPr>
            <w:tcW w:w="4762" w:type="dxa"/>
          </w:tcPr>
          <w:p w:rsidR="007D4BA9" w:rsidRDefault="007D4BA9">
            <w:pPr>
              <w:pStyle w:val="ConsPlusNormal"/>
              <w:jc w:val="both"/>
            </w:pPr>
            <w:r>
              <w:t>Расстояние пешеходных подходов от стоянок для временного хранения легковых автомобилей до входов в жилые дома</w:t>
            </w:r>
          </w:p>
        </w:tc>
        <w:tc>
          <w:tcPr>
            <w:tcW w:w="4252" w:type="dxa"/>
          </w:tcPr>
          <w:p w:rsidR="007D4BA9" w:rsidRDefault="007D4BA9">
            <w:pPr>
              <w:pStyle w:val="ConsPlusNormal"/>
            </w:pPr>
            <w:r>
              <w:t>не более 150 м</w:t>
            </w:r>
          </w:p>
        </w:tc>
      </w:tr>
      <w:tr w:rsidR="007D4BA9">
        <w:tc>
          <w:tcPr>
            <w:tcW w:w="4762" w:type="dxa"/>
          </w:tcPr>
          <w:p w:rsidR="007D4BA9" w:rsidRDefault="007D4BA9">
            <w:pPr>
              <w:pStyle w:val="ConsPlusNormal"/>
            </w:pPr>
            <w:r>
              <w:t>Бытовые разрывы между длинными сторонами жилых зданий</w:t>
            </w:r>
          </w:p>
        </w:tc>
        <w:tc>
          <w:tcPr>
            <w:tcW w:w="4252" w:type="dxa"/>
          </w:tcPr>
          <w:p w:rsidR="007D4BA9" w:rsidRDefault="007D4BA9">
            <w:pPr>
              <w:pStyle w:val="ConsPlusNormal"/>
            </w:pPr>
            <w:r>
              <w:t>жилые 2 - 3-этажные - не менее 15 м; 4-этажные - не менее 20 м</w:t>
            </w:r>
          </w:p>
        </w:tc>
      </w:tr>
      <w:tr w:rsidR="007D4BA9">
        <w:tc>
          <w:tcPr>
            <w:tcW w:w="4762" w:type="dxa"/>
          </w:tcPr>
          <w:p w:rsidR="007D4BA9" w:rsidRDefault="007D4BA9">
            <w:pPr>
              <w:pStyle w:val="ConsPlusNormal"/>
              <w:jc w:val="both"/>
            </w:pPr>
            <w:r>
              <w:t>Бытовые разрывы между длинными сторонами и торцами этих же зданий с окнами из жилых комнат</w:t>
            </w:r>
          </w:p>
        </w:tc>
        <w:tc>
          <w:tcPr>
            <w:tcW w:w="4252" w:type="dxa"/>
          </w:tcPr>
          <w:p w:rsidR="007D4BA9" w:rsidRDefault="007D4BA9">
            <w:pPr>
              <w:pStyle w:val="ConsPlusNormal"/>
            </w:pPr>
            <w:r>
              <w:t>не менее 10 м</w:t>
            </w:r>
          </w:p>
        </w:tc>
      </w:tr>
      <w:tr w:rsidR="007D4BA9">
        <w:tc>
          <w:tcPr>
            <w:tcW w:w="9014" w:type="dxa"/>
            <w:gridSpan w:val="2"/>
          </w:tcPr>
          <w:p w:rsidR="007D4BA9" w:rsidRDefault="007D4BA9">
            <w:pPr>
              <w:pStyle w:val="ConsPlusNormal"/>
              <w:jc w:val="center"/>
              <w:outlineLvl w:val="3"/>
            </w:pPr>
            <w:r>
              <w:t>Расстояние от внутреннего края проезда до стены здания или сооружения</w:t>
            </w:r>
          </w:p>
        </w:tc>
      </w:tr>
      <w:tr w:rsidR="007D4BA9">
        <w:tc>
          <w:tcPr>
            <w:tcW w:w="4762" w:type="dxa"/>
          </w:tcPr>
          <w:p w:rsidR="007D4BA9" w:rsidRDefault="007D4BA9">
            <w:pPr>
              <w:pStyle w:val="ConsPlusNormal"/>
            </w:pPr>
            <w:r>
              <w:t>Для зданий высотой до 28 включительно</w:t>
            </w:r>
          </w:p>
        </w:tc>
        <w:tc>
          <w:tcPr>
            <w:tcW w:w="4252" w:type="dxa"/>
          </w:tcPr>
          <w:p w:rsidR="007D4BA9" w:rsidRDefault="007D4BA9">
            <w:pPr>
              <w:pStyle w:val="ConsPlusNormal"/>
            </w:pPr>
            <w:r>
              <w:t>5 - 8 м</w:t>
            </w:r>
          </w:p>
        </w:tc>
      </w:tr>
      <w:tr w:rsidR="007D4BA9">
        <w:tc>
          <w:tcPr>
            <w:tcW w:w="4762" w:type="dxa"/>
          </w:tcPr>
          <w:p w:rsidR="007D4BA9" w:rsidRDefault="007D4BA9">
            <w:pPr>
              <w:pStyle w:val="ConsPlusNormal"/>
            </w:pPr>
            <w:r>
              <w:lastRenderedPageBreak/>
              <w:t>Для зданий высотой более 28</w:t>
            </w:r>
          </w:p>
        </w:tc>
        <w:tc>
          <w:tcPr>
            <w:tcW w:w="4252" w:type="dxa"/>
          </w:tcPr>
          <w:p w:rsidR="007D4BA9" w:rsidRDefault="007D4BA9">
            <w:pPr>
              <w:pStyle w:val="ConsPlusNormal"/>
            </w:pPr>
            <w:r>
              <w:t>8 - 10 м</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3" w:name="P305"/>
      <w:bookmarkEnd w:id="3"/>
      <w:r>
        <w:t xml:space="preserve">&lt;*&gt; Расчетные показатели принимаются в соответствии с </w:t>
      </w:r>
      <w:hyperlink r:id="rId21">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 xml:space="preserve">1. Противопожарные минимальные </w:t>
      </w:r>
      <w:hyperlink w:anchor="P313">
        <w:r>
          <w:rPr>
            <w:color w:val="0000FF"/>
          </w:rPr>
          <w:t>расстояния</w:t>
        </w:r>
      </w:hyperlink>
      <w:r>
        <w:t xml:space="preserve"> между жилыми и общественными зданиями (при степени огнестойкости и классе конструктивной пожарной опасности жилых и общественных зданий) принимаются в соответствии с таблицей 4.</w:t>
      </w:r>
    </w:p>
    <w:p w:rsidR="007D4BA9" w:rsidRDefault="007D4BA9">
      <w:pPr>
        <w:pStyle w:val="ConsPlusNormal"/>
        <w:spacing w:before="220"/>
        <w:ind w:firstLine="540"/>
        <w:jc w:val="both"/>
      </w:pPr>
      <w:r>
        <w:t xml:space="preserve">2.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обосновании величины разрывов расчетами рассеивания загрязнения атмосферного воздуха и физических факторов (шума, вибрации, электромагнитных полей) с последующим проведением натурных исследований и измерений, а также при обеспечении </w:t>
      </w:r>
      <w:proofErr w:type="spellStart"/>
      <w:r>
        <w:t>непросматриваемости</w:t>
      </w:r>
      <w:proofErr w:type="spellEnd"/>
      <w:r>
        <w:t xml:space="preserve"> жилых помещений (комнат и кухонь) из окна в окно.</w:t>
      </w:r>
    </w:p>
    <w:p w:rsidR="007D4BA9" w:rsidRDefault="007D4BA9">
      <w:pPr>
        <w:pStyle w:val="ConsPlusNormal"/>
        <w:jc w:val="both"/>
      </w:pPr>
    </w:p>
    <w:p w:rsidR="007D4BA9" w:rsidRDefault="007D4BA9">
      <w:pPr>
        <w:pStyle w:val="ConsPlusNormal"/>
        <w:jc w:val="right"/>
        <w:outlineLvl w:val="3"/>
      </w:pPr>
      <w:r>
        <w:t>Таблица 4</w:t>
      </w:r>
    </w:p>
    <w:p w:rsidR="007D4BA9" w:rsidRDefault="007D4BA9">
      <w:pPr>
        <w:pStyle w:val="ConsPlusNormal"/>
        <w:jc w:val="both"/>
      </w:pPr>
    </w:p>
    <w:p w:rsidR="007D4BA9" w:rsidRDefault="007D4BA9">
      <w:pPr>
        <w:pStyle w:val="ConsPlusTitle"/>
        <w:jc w:val="center"/>
      </w:pPr>
      <w:bookmarkStart w:id="4" w:name="P313"/>
      <w:bookmarkEnd w:id="4"/>
      <w:r>
        <w:t>Противопожарные минимальные расстояния</w:t>
      </w:r>
    </w:p>
    <w:p w:rsidR="007D4BA9" w:rsidRDefault="007D4BA9">
      <w:pPr>
        <w:pStyle w:val="ConsPlusTitle"/>
        <w:jc w:val="center"/>
      </w:pPr>
      <w:r>
        <w:t>между жилыми и общественными зданиями</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15"/>
        <w:gridCol w:w="1417"/>
        <w:gridCol w:w="1191"/>
        <w:gridCol w:w="1304"/>
        <w:gridCol w:w="1587"/>
      </w:tblGrid>
      <w:tr w:rsidR="007D4BA9">
        <w:tc>
          <w:tcPr>
            <w:tcW w:w="3515" w:type="dxa"/>
            <w:vMerge w:val="restart"/>
          </w:tcPr>
          <w:p w:rsidR="007D4BA9" w:rsidRDefault="007D4BA9">
            <w:pPr>
              <w:pStyle w:val="ConsPlusNormal"/>
              <w:jc w:val="center"/>
            </w:pPr>
            <w:r>
              <w:t>Степень огнестойкости здания, класс конструктивной пожарной опасности</w:t>
            </w:r>
          </w:p>
        </w:tc>
        <w:tc>
          <w:tcPr>
            <w:tcW w:w="5499" w:type="dxa"/>
            <w:gridSpan w:val="4"/>
          </w:tcPr>
          <w:p w:rsidR="007D4BA9" w:rsidRDefault="007D4BA9">
            <w:pPr>
              <w:pStyle w:val="ConsPlusNormal"/>
              <w:jc w:val="center"/>
            </w:pPr>
            <w:r>
              <w:t>Минимальные расстояния при степени огнестойкости и классе конструктивной пожарной опасности жилых и общественных зданий, м</w:t>
            </w:r>
          </w:p>
        </w:tc>
      </w:tr>
      <w:tr w:rsidR="007D4BA9">
        <w:tc>
          <w:tcPr>
            <w:tcW w:w="3515" w:type="dxa"/>
            <w:vMerge/>
          </w:tcPr>
          <w:p w:rsidR="007D4BA9" w:rsidRDefault="007D4BA9">
            <w:pPr>
              <w:pStyle w:val="ConsPlusNormal"/>
            </w:pPr>
          </w:p>
        </w:tc>
        <w:tc>
          <w:tcPr>
            <w:tcW w:w="1417" w:type="dxa"/>
          </w:tcPr>
          <w:p w:rsidR="007D4BA9" w:rsidRDefault="007D4BA9">
            <w:pPr>
              <w:pStyle w:val="ConsPlusNormal"/>
              <w:jc w:val="center"/>
            </w:pPr>
            <w:r>
              <w:t>I, II, III С0</w:t>
            </w:r>
          </w:p>
        </w:tc>
        <w:tc>
          <w:tcPr>
            <w:tcW w:w="1191" w:type="dxa"/>
          </w:tcPr>
          <w:p w:rsidR="007D4BA9" w:rsidRDefault="007D4BA9">
            <w:pPr>
              <w:pStyle w:val="ConsPlusNormal"/>
              <w:jc w:val="center"/>
            </w:pPr>
            <w:r>
              <w:t>II, III С1</w:t>
            </w:r>
          </w:p>
        </w:tc>
        <w:tc>
          <w:tcPr>
            <w:tcW w:w="1304" w:type="dxa"/>
          </w:tcPr>
          <w:p w:rsidR="007D4BA9" w:rsidRDefault="007D4BA9">
            <w:pPr>
              <w:pStyle w:val="ConsPlusNormal"/>
              <w:jc w:val="center"/>
            </w:pPr>
            <w:r>
              <w:t>IV С0, С1</w:t>
            </w:r>
          </w:p>
        </w:tc>
        <w:tc>
          <w:tcPr>
            <w:tcW w:w="1587" w:type="dxa"/>
          </w:tcPr>
          <w:p w:rsidR="007D4BA9" w:rsidRDefault="007D4BA9">
            <w:pPr>
              <w:pStyle w:val="ConsPlusNormal"/>
              <w:jc w:val="center"/>
            </w:pPr>
            <w:r>
              <w:t>IV, V С2, С3</w:t>
            </w:r>
          </w:p>
        </w:tc>
      </w:tr>
      <w:tr w:rsidR="007D4BA9">
        <w:tc>
          <w:tcPr>
            <w:tcW w:w="3515" w:type="dxa"/>
          </w:tcPr>
          <w:p w:rsidR="007D4BA9" w:rsidRDefault="007D4BA9">
            <w:pPr>
              <w:pStyle w:val="ConsPlusNormal"/>
            </w:pPr>
            <w:r>
              <w:t>I, II, III, С0</w:t>
            </w:r>
          </w:p>
        </w:tc>
        <w:tc>
          <w:tcPr>
            <w:tcW w:w="1417" w:type="dxa"/>
          </w:tcPr>
          <w:p w:rsidR="007D4BA9" w:rsidRDefault="007D4BA9">
            <w:pPr>
              <w:pStyle w:val="ConsPlusNormal"/>
              <w:jc w:val="center"/>
            </w:pPr>
            <w:r>
              <w:t>6</w:t>
            </w:r>
          </w:p>
        </w:tc>
        <w:tc>
          <w:tcPr>
            <w:tcW w:w="1191" w:type="dxa"/>
          </w:tcPr>
          <w:p w:rsidR="007D4BA9" w:rsidRDefault="007D4BA9">
            <w:pPr>
              <w:pStyle w:val="ConsPlusNormal"/>
              <w:jc w:val="center"/>
            </w:pPr>
            <w:r>
              <w:t>8</w:t>
            </w:r>
          </w:p>
        </w:tc>
        <w:tc>
          <w:tcPr>
            <w:tcW w:w="1304" w:type="dxa"/>
          </w:tcPr>
          <w:p w:rsidR="007D4BA9" w:rsidRDefault="007D4BA9">
            <w:pPr>
              <w:pStyle w:val="ConsPlusNormal"/>
              <w:jc w:val="center"/>
            </w:pPr>
            <w:r>
              <w:t>8</w:t>
            </w:r>
          </w:p>
        </w:tc>
        <w:tc>
          <w:tcPr>
            <w:tcW w:w="1587" w:type="dxa"/>
          </w:tcPr>
          <w:p w:rsidR="007D4BA9" w:rsidRDefault="007D4BA9">
            <w:pPr>
              <w:pStyle w:val="ConsPlusNormal"/>
              <w:jc w:val="center"/>
            </w:pPr>
            <w:r>
              <w:t>10</w:t>
            </w:r>
          </w:p>
        </w:tc>
      </w:tr>
      <w:tr w:rsidR="007D4BA9">
        <w:tc>
          <w:tcPr>
            <w:tcW w:w="3515" w:type="dxa"/>
          </w:tcPr>
          <w:p w:rsidR="007D4BA9" w:rsidRDefault="007D4BA9">
            <w:pPr>
              <w:pStyle w:val="ConsPlusNormal"/>
            </w:pPr>
            <w:r>
              <w:t>II, III, С1</w:t>
            </w:r>
          </w:p>
        </w:tc>
        <w:tc>
          <w:tcPr>
            <w:tcW w:w="1417" w:type="dxa"/>
          </w:tcPr>
          <w:p w:rsidR="007D4BA9" w:rsidRDefault="007D4BA9">
            <w:pPr>
              <w:pStyle w:val="ConsPlusNormal"/>
              <w:jc w:val="center"/>
            </w:pPr>
            <w:r>
              <w:t>8</w:t>
            </w:r>
          </w:p>
        </w:tc>
        <w:tc>
          <w:tcPr>
            <w:tcW w:w="1191" w:type="dxa"/>
          </w:tcPr>
          <w:p w:rsidR="007D4BA9" w:rsidRDefault="007D4BA9">
            <w:pPr>
              <w:pStyle w:val="ConsPlusNormal"/>
              <w:jc w:val="center"/>
            </w:pPr>
            <w:r>
              <w:t>10</w:t>
            </w:r>
          </w:p>
        </w:tc>
        <w:tc>
          <w:tcPr>
            <w:tcW w:w="1304" w:type="dxa"/>
          </w:tcPr>
          <w:p w:rsidR="007D4BA9" w:rsidRDefault="007D4BA9">
            <w:pPr>
              <w:pStyle w:val="ConsPlusNormal"/>
              <w:jc w:val="center"/>
            </w:pPr>
            <w:r>
              <w:t>10</w:t>
            </w:r>
          </w:p>
        </w:tc>
        <w:tc>
          <w:tcPr>
            <w:tcW w:w="1587" w:type="dxa"/>
          </w:tcPr>
          <w:p w:rsidR="007D4BA9" w:rsidRDefault="007D4BA9">
            <w:pPr>
              <w:pStyle w:val="ConsPlusNormal"/>
              <w:jc w:val="center"/>
            </w:pPr>
            <w:r>
              <w:t>12</w:t>
            </w:r>
          </w:p>
        </w:tc>
      </w:tr>
      <w:tr w:rsidR="007D4BA9">
        <w:tc>
          <w:tcPr>
            <w:tcW w:w="3515" w:type="dxa"/>
          </w:tcPr>
          <w:p w:rsidR="007D4BA9" w:rsidRDefault="007D4BA9">
            <w:pPr>
              <w:pStyle w:val="ConsPlusNormal"/>
            </w:pPr>
            <w:r>
              <w:t>IV, С0, С1</w:t>
            </w:r>
          </w:p>
        </w:tc>
        <w:tc>
          <w:tcPr>
            <w:tcW w:w="1417" w:type="dxa"/>
          </w:tcPr>
          <w:p w:rsidR="007D4BA9" w:rsidRDefault="007D4BA9">
            <w:pPr>
              <w:pStyle w:val="ConsPlusNormal"/>
              <w:jc w:val="center"/>
            </w:pPr>
            <w:r>
              <w:t>8</w:t>
            </w:r>
          </w:p>
        </w:tc>
        <w:tc>
          <w:tcPr>
            <w:tcW w:w="1191" w:type="dxa"/>
          </w:tcPr>
          <w:p w:rsidR="007D4BA9" w:rsidRDefault="007D4BA9">
            <w:pPr>
              <w:pStyle w:val="ConsPlusNormal"/>
              <w:jc w:val="center"/>
            </w:pPr>
            <w:r>
              <w:t>10</w:t>
            </w:r>
          </w:p>
        </w:tc>
        <w:tc>
          <w:tcPr>
            <w:tcW w:w="1304" w:type="dxa"/>
          </w:tcPr>
          <w:p w:rsidR="007D4BA9" w:rsidRDefault="007D4BA9">
            <w:pPr>
              <w:pStyle w:val="ConsPlusNormal"/>
              <w:jc w:val="center"/>
            </w:pPr>
            <w:r>
              <w:t>10</w:t>
            </w:r>
          </w:p>
        </w:tc>
        <w:tc>
          <w:tcPr>
            <w:tcW w:w="1587" w:type="dxa"/>
          </w:tcPr>
          <w:p w:rsidR="007D4BA9" w:rsidRDefault="007D4BA9">
            <w:pPr>
              <w:pStyle w:val="ConsPlusNormal"/>
              <w:jc w:val="center"/>
            </w:pPr>
            <w:r>
              <w:t>12</w:t>
            </w:r>
          </w:p>
        </w:tc>
      </w:tr>
      <w:tr w:rsidR="007D4BA9">
        <w:tc>
          <w:tcPr>
            <w:tcW w:w="3515" w:type="dxa"/>
          </w:tcPr>
          <w:p w:rsidR="007D4BA9" w:rsidRDefault="007D4BA9">
            <w:pPr>
              <w:pStyle w:val="ConsPlusNormal"/>
            </w:pPr>
            <w:r>
              <w:t>IV, V, С2, С3</w:t>
            </w:r>
          </w:p>
        </w:tc>
        <w:tc>
          <w:tcPr>
            <w:tcW w:w="1417" w:type="dxa"/>
          </w:tcPr>
          <w:p w:rsidR="007D4BA9" w:rsidRDefault="007D4BA9">
            <w:pPr>
              <w:pStyle w:val="ConsPlusNormal"/>
              <w:jc w:val="center"/>
            </w:pPr>
            <w:r>
              <w:t>10</w:t>
            </w:r>
          </w:p>
        </w:tc>
        <w:tc>
          <w:tcPr>
            <w:tcW w:w="1191" w:type="dxa"/>
          </w:tcPr>
          <w:p w:rsidR="007D4BA9" w:rsidRDefault="007D4BA9">
            <w:pPr>
              <w:pStyle w:val="ConsPlusNormal"/>
              <w:jc w:val="center"/>
            </w:pPr>
            <w:r>
              <w:t>12</w:t>
            </w:r>
          </w:p>
        </w:tc>
        <w:tc>
          <w:tcPr>
            <w:tcW w:w="1304" w:type="dxa"/>
          </w:tcPr>
          <w:p w:rsidR="007D4BA9" w:rsidRDefault="007D4BA9">
            <w:pPr>
              <w:pStyle w:val="ConsPlusNormal"/>
              <w:jc w:val="center"/>
            </w:pPr>
            <w:r>
              <w:t>12</w:t>
            </w:r>
          </w:p>
        </w:tc>
        <w:tc>
          <w:tcPr>
            <w:tcW w:w="1587" w:type="dxa"/>
          </w:tcPr>
          <w:p w:rsidR="007D4BA9" w:rsidRDefault="007D4BA9">
            <w:pPr>
              <w:pStyle w:val="ConsPlusNormal"/>
              <w:jc w:val="center"/>
            </w:pPr>
            <w:r>
              <w:t>15</w:t>
            </w:r>
          </w:p>
        </w:tc>
      </w:tr>
    </w:tbl>
    <w:p w:rsidR="007D4BA9" w:rsidRDefault="007D4BA9">
      <w:pPr>
        <w:pStyle w:val="ConsPlusNormal"/>
        <w:jc w:val="both"/>
      </w:pPr>
    </w:p>
    <w:p w:rsidR="007D4BA9" w:rsidRDefault="007D4BA9">
      <w:pPr>
        <w:pStyle w:val="ConsPlusNormal"/>
        <w:jc w:val="right"/>
        <w:outlineLvl w:val="3"/>
      </w:pPr>
      <w:r>
        <w:t>Таблица 5</w:t>
      </w:r>
    </w:p>
    <w:p w:rsidR="007D4BA9" w:rsidRDefault="007D4BA9">
      <w:pPr>
        <w:pStyle w:val="ConsPlusNormal"/>
        <w:jc w:val="both"/>
      </w:pPr>
    </w:p>
    <w:p w:rsidR="007D4BA9" w:rsidRDefault="007D4BA9">
      <w:pPr>
        <w:pStyle w:val="ConsPlusTitle"/>
        <w:jc w:val="center"/>
      </w:pPr>
      <w:bookmarkStart w:id="5" w:name="P345"/>
      <w:bookmarkEnd w:id="5"/>
      <w:r>
        <w:t>Максимальные показатели плотности жилищного фонда (общей</w:t>
      </w:r>
    </w:p>
    <w:p w:rsidR="007D4BA9" w:rsidRDefault="007D4BA9">
      <w:pPr>
        <w:pStyle w:val="ConsPlusTitle"/>
        <w:jc w:val="center"/>
      </w:pPr>
      <w:r>
        <w:t>площади квартир) участка многоквартирного жилого дома (зоны</w:t>
      </w:r>
    </w:p>
    <w:p w:rsidR="007D4BA9" w:rsidRDefault="007D4BA9">
      <w:pPr>
        <w:pStyle w:val="ConsPlusTitle"/>
        <w:jc w:val="center"/>
      </w:pPr>
      <w:r>
        <w:t>размещения объектов капитального строительства жилого</w:t>
      </w:r>
    </w:p>
    <w:p w:rsidR="007D4BA9" w:rsidRDefault="007D4BA9">
      <w:pPr>
        <w:pStyle w:val="ConsPlusTitle"/>
        <w:jc w:val="center"/>
      </w:pPr>
      <w:r>
        <w:t>назначения)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72"/>
        <w:gridCol w:w="6463"/>
      </w:tblGrid>
      <w:tr w:rsidR="007D4BA9">
        <w:tc>
          <w:tcPr>
            <w:tcW w:w="2472" w:type="dxa"/>
          </w:tcPr>
          <w:p w:rsidR="007D4BA9" w:rsidRDefault="007D4BA9">
            <w:pPr>
              <w:pStyle w:val="ConsPlusNormal"/>
              <w:jc w:val="center"/>
            </w:pPr>
            <w:r>
              <w:t>Этажность здания</w:t>
            </w:r>
          </w:p>
        </w:tc>
        <w:tc>
          <w:tcPr>
            <w:tcW w:w="6463" w:type="dxa"/>
          </w:tcPr>
          <w:p w:rsidR="007D4BA9" w:rsidRDefault="007D4BA9">
            <w:pPr>
              <w:pStyle w:val="ConsPlusNormal"/>
              <w:jc w:val="center"/>
            </w:pPr>
            <w:r>
              <w:t xml:space="preserve">Максимальные показатели плотности жилищного фонда, тыс. кв. м/га </w:t>
            </w:r>
            <w:hyperlink w:anchor="P400">
              <w:r>
                <w:rPr>
                  <w:color w:val="0000FF"/>
                </w:rPr>
                <w:t>&lt;*&gt;</w:t>
              </w:r>
            </w:hyperlink>
          </w:p>
        </w:tc>
      </w:tr>
      <w:tr w:rsidR="007D4BA9">
        <w:tc>
          <w:tcPr>
            <w:tcW w:w="2472" w:type="dxa"/>
          </w:tcPr>
          <w:p w:rsidR="007D4BA9" w:rsidRDefault="007D4BA9">
            <w:pPr>
              <w:pStyle w:val="ConsPlusNormal"/>
              <w:jc w:val="center"/>
            </w:pPr>
            <w:r>
              <w:t>3</w:t>
            </w:r>
          </w:p>
        </w:tc>
        <w:tc>
          <w:tcPr>
            <w:tcW w:w="6463" w:type="dxa"/>
          </w:tcPr>
          <w:p w:rsidR="007D4BA9" w:rsidRDefault="007D4BA9">
            <w:pPr>
              <w:pStyle w:val="ConsPlusNormal"/>
              <w:jc w:val="center"/>
            </w:pPr>
            <w:r>
              <w:t>10,4</w:t>
            </w:r>
          </w:p>
        </w:tc>
      </w:tr>
      <w:tr w:rsidR="007D4BA9">
        <w:tc>
          <w:tcPr>
            <w:tcW w:w="2472" w:type="dxa"/>
          </w:tcPr>
          <w:p w:rsidR="007D4BA9" w:rsidRDefault="007D4BA9">
            <w:pPr>
              <w:pStyle w:val="ConsPlusNormal"/>
              <w:jc w:val="center"/>
            </w:pPr>
            <w:r>
              <w:t>4</w:t>
            </w:r>
          </w:p>
        </w:tc>
        <w:tc>
          <w:tcPr>
            <w:tcW w:w="6463" w:type="dxa"/>
          </w:tcPr>
          <w:p w:rsidR="007D4BA9" w:rsidRDefault="007D4BA9">
            <w:pPr>
              <w:pStyle w:val="ConsPlusNormal"/>
              <w:jc w:val="center"/>
            </w:pPr>
            <w:r>
              <w:t>12,0</w:t>
            </w:r>
          </w:p>
        </w:tc>
      </w:tr>
      <w:tr w:rsidR="007D4BA9">
        <w:tc>
          <w:tcPr>
            <w:tcW w:w="2472" w:type="dxa"/>
          </w:tcPr>
          <w:p w:rsidR="007D4BA9" w:rsidRDefault="007D4BA9">
            <w:pPr>
              <w:pStyle w:val="ConsPlusNormal"/>
              <w:jc w:val="center"/>
            </w:pPr>
            <w:r>
              <w:t>5</w:t>
            </w:r>
          </w:p>
        </w:tc>
        <w:tc>
          <w:tcPr>
            <w:tcW w:w="6463" w:type="dxa"/>
          </w:tcPr>
          <w:p w:rsidR="007D4BA9" w:rsidRDefault="007D4BA9">
            <w:pPr>
              <w:pStyle w:val="ConsPlusNormal"/>
              <w:jc w:val="center"/>
            </w:pPr>
            <w:r>
              <w:t>13,2</w:t>
            </w:r>
          </w:p>
        </w:tc>
      </w:tr>
      <w:tr w:rsidR="007D4BA9">
        <w:tc>
          <w:tcPr>
            <w:tcW w:w="2472" w:type="dxa"/>
          </w:tcPr>
          <w:p w:rsidR="007D4BA9" w:rsidRDefault="007D4BA9">
            <w:pPr>
              <w:pStyle w:val="ConsPlusNormal"/>
              <w:jc w:val="center"/>
            </w:pPr>
            <w:r>
              <w:lastRenderedPageBreak/>
              <w:t>6</w:t>
            </w:r>
          </w:p>
        </w:tc>
        <w:tc>
          <w:tcPr>
            <w:tcW w:w="6463" w:type="dxa"/>
          </w:tcPr>
          <w:p w:rsidR="007D4BA9" w:rsidRDefault="007D4BA9">
            <w:pPr>
              <w:pStyle w:val="ConsPlusNormal"/>
              <w:jc w:val="center"/>
            </w:pPr>
            <w:r>
              <w:t>14,2</w:t>
            </w:r>
          </w:p>
        </w:tc>
      </w:tr>
      <w:tr w:rsidR="007D4BA9">
        <w:tc>
          <w:tcPr>
            <w:tcW w:w="2472" w:type="dxa"/>
          </w:tcPr>
          <w:p w:rsidR="007D4BA9" w:rsidRDefault="007D4BA9">
            <w:pPr>
              <w:pStyle w:val="ConsPlusNormal"/>
              <w:jc w:val="center"/>
            </w:pPr>
            <w:r>
              <w:t>7</w:t>
            </w:r>
          </w:p>
        </w:tc>
        <w:tc>
          <w:tcPr>
            <w:tcW w:w="6463" w:type="dxa"/>
          </w:tcPr>
          <w:p w:rsidR="007D4BA9" w:rsidRDefault="007D4BA9">
            <w:pPr>
              <w:pStyle w:val="ConsPlusNormal"/>
              <w:jc w:val="center"/>
            </w:pPr>
            <w:r>
              <w:t>15,0</w:t>
            </w:r>
          </w:p>
        </w:tc>
      </w:tr>
      <w:tr w:rsidR="007D4BA9">
        <w:tc>
          <w:tcPr>
            <w:tcW w:w="2472" w:type="dxa"/>
          </w:tcPr>
          <w:p w:rsidR="007D4BA9" w:rsidRDefault="007D4BA9">
            <w:pPr>
              <w:pStyle w:val="ConsPlusNormal"/>
              <w:jc w:val="center"/>
            </w:pPr>
            <w:r>
              <w:t>8</w:t>
            </w:r>
          </w:p>
        </w:tc>
        <w:tc>
          <w:tcPr>
            <w:tcW w:w="6463" w:type="dxa"/>
          </w:tcPr>
          <w:p w:rsidR="007D4BA9" w:rsidRDefault="007D4BA9">
            <w:pPr>
              <w:pStyle w:val="ConsPlusNormal"/>
              <w:jc w:val="center"/>
            </w:pPr>
            <w:r>
              <w:t>15,6</w:t>
            </w:r>
          </w:p>
        </w:tc>
      </w:tr>
      <w:tr w:rsidR="007D4BA9">
        <w:tc>
          <w:tcPr>
            <w:tcW w:w="2472" w:type="dxa"/>
          </w:tcPr>
          <w:p w:rsidR="007D4BA9" w:rsidRDefault="007D4BA9">
            <w:pPr>
              <w:pStyle w:val="ConsPlusNormal"/>
              <w:jc w:val="center"/>
            </w:pPr>
            <w:r>
              <w:t>9</w:t>
            </w:r>
          </w:p>
        </w:tc>
        <w:tc>
          <w:tcPr>
            <w:tcW w:w="6463" w:type="dxa"/>
          </w:tcPr>
          <w:p w:rsidR="007D4BA9" w:rsidRDefault="007D4BA9">
            <w:pPr>
              <w:pStyle w:val="ConsPlusNormal"/>
              <w:jc w:val="center"/>
            </w:pPr>
            <w:r>
              <w:t>16,1</w:t>
            </w:r>
          </w:p>
        </w:tc>
      </w:tr>
      <w:tr w:rsidR="007D4BA9">
        <w:tc>
          <w:tcPr>
            <w:tcW w:w="2472" w:type="dxa"/>
          </w:tcPr>
          <w:p w:rsidR="007D4BA9" w:rsidRDefault="007D4BA9">
            <w:pPr>
              <w:pStyle w:val="ConsPlusNormal"/>
              <w:jc w:val="center"/>
            </w:pPr>
            <w:r>
              <w:t>10</w:t>
            </w:r>
          </w:p>
        </w:tc>
        <w:tc>
          <w:tcPr>
            <w:tcW w:w="6463" w:type="dxa"/>
          </w:tcPr>
          <w:p w:rsidR="007D4BA9" w:rsidRDefault="007D4BA9">
            <w:pPr>
              <w:pStyle w:val="ConsPlusNormal"/>
              <w:jc w:val="center"/>
            </w:pPr>
            <w:r>
              <w:t>16,6</w:t>
            </w:r>
          </w:p>
        </w:tc>
      </w:tr>
      <w:tr w:rsidR="007D4BA9">
        <w:tc>
          <w:tcPr>
            <w:tcW w:w="2472" w:type="dxa"/>
          </w:tcPr>
          <w:p w:rsidR="007D4BA9" w:rsidRDefault="007D4BA9">
            <w:pPr>
              <w:pStyle w:val="ConsPlusNormal"/>
              <w:jc w:val="center"/>
            </w:pPr>
            <w:r>
              <w:t>11</w:t>
            </w:r>
          </w:p>
        </w:tc>
        <w:tc>
          <w:tcPr>
            <w:tcW w:w="6463" w:type="dxa"/>
          </w:tcPr>
          <w:p w:rsidR="007D4BA9" w:rsidRDefault="007D4BA9">
            <w:pPr>
              <w:pStyle w:val="ConsPlusNormal"/>
              <w:jc w:val="center"/>
            </w:pPr>
            <w:r>
              <w:t>17,0</w:t>
            </w:r>
          </w:p>
        </w:tc>
      </w:tr>
      <w:tr w:rsidR="007D4BA9">
        <w:tc>
          <w:tcPr>
            <w:tcW w:w="2472" w:type="dxa"/>
          </w:tcPr>
          <w:p w:rsidR="007D4BA9" w:rsidRDefault="007D4BA9">
            <w:pPr>
              <w:pStyle w:val="ConsPlusNormal"/>
              <w:jc w:val="center"/>
            </w:pPr>
            <w:r>
              <w:t>12</w:t>
            </w:r>
          </w:p>
        </w:tc>
        <w:tc>
          <w:tcPr>
            <w:tcW w:w="6463" w:type="dxa"/>
          </w:tcPr>
          <w:p w:rsidR="007D4BA9" w:rsidRDefault="007D4BA9">
            <w:pPr>
              <w:pStyle w:val="ConsPlusNormal"/>
              <w:jc w:val="center"/>
            </w:pPr>
            <w:r>
              <w:t>17,3</w:t>
            </w:r>
          </w:p>
        </w:tc>
      </w:tr>
      <w:tr w:rsidR="007D4BA9">
        <w:tc>
          <w:tcPr>
            <w:tcW w:w="2472" w:type="dxa"/>
          </w:tcPr>
          <w:p w:rsidR="007D4BA9" w:rsidRDefault="007D4BA9">
            <w:pPr>
              <w:pStyle w:val="ConsPlusNormal"/>
              <w:jc w:val="center"/>
            </w:pPr>
            <w:r>
              <w:t>13</w:t>
            </w:r>
          </w:p>
        </w:tc>
        <w:tc>
          <w:tcPr>
            <w:tcW w:w="6463" w:type="dxa"/>
          </w:tcPr>
          <w:p w:rsidR="007D4BA9" w:rsidRDefault="007D4BA9">
            <w:pPr>
              <w:pStyle w:val="ConsPlusNormal"/>
              <w:jc w:val="center"/>
            </w:pPr>
            <w:r>
              <w:t>17,6</w:t>
            </w:r>
          </w:p>
        </w:tc>
      </w:tr>
      <w:tr w:rsidR="007D4BA9">
        <w:tc>
          <w:tcPr>
            <w:tcW w:w="2472" w:type="dxa"/>
          </w:tcPr>
          <w:p w:rsidR="007D4BA9" w:rsidRDefault="007D4BA9">
            <w:pPr>
              <w:pStyle w:val="ConsPlusNormal"/>
              <w:jc w:val="center"/>
            </w:pPr>
            <w:r>
              <w:t>14</w:t>
            </w:r>
          </w:p>
        </w:tc>
        <w:tc>
          <w:tcPr>
            <w:tcW w:w="6463" w:type="dxa"/>
          </w:tcPr>
          <w:p w:rsidR="007D4BA9" w:rsidRDefault="007D4BA9">
            <w:pPr>
              <w:pStyle w:val="ConsPlusNormal"/>
              <w:jc w:val="center"/>
            </w:pPr>
            <w:r>
              <w:t>17,9</w:t>
            </w:r>
          </w:p>
        </w:tc>
      </w:tr>
      <w:tr w:rsidR="007D4BA9">
        <w:tc>
          <w:tcPr>
            <w:tcW w:w="2472" w:type="dxa"/>
          </w:tcPr>
          <w:p w:rsidR="007D4BA9" w:rsidRDefault="007D4BA9">
            <w:pPr>
              <w:pStyle w:val="ConsPlusNormal"/>
              <w:jc w:val="center"/>
            </w:pPr>
            <w:r>
              <w:t>15</w:t>
            </w:r>
          </w:p>
        </w:tc>
        <w:tc>
          <w:tcPr>
            <w:tcW w:w="6463" w:type="dxa"/>
          </w:tcPr>
          <w:p w:rsidR="007D4BA9" w:rsidRDefault="007D4BA9">
            <w:pPr>
              <w:pStyle w:val="ConsPlusNormal"/>
              <w:jc w:val="center"/>
            </w:pPr>
            <w:r>
              <w:t>18,1</w:t>
            </w:r>
          </w:p>
        </w:tc>
      </w:tr>
      <w:tr w:rsidR="007D4BA9">
        <w:tc>
          <w:tcPr>
            <w:tcW w:w="2472" w:type="dxa"/>
          </w:tcPr>
          <w:p w:rsidR="007D4BA9" w:rsidRDefault="007D4BA9">
            <w:pPr>
              <w:pStyle w:val="ConsPlusNormal"/>
              <w:jc w:val="center"/>
            </w:pPr>
            <w:r>
              <w:t>16</w:t>
            </w:r>
          </w:p>
        </w:tc>
        <w:tc>
          <w:tcPr>
            <w:tcW w:w="6463" w:type="dxa"/>
          </w:tcPr>
          <w:p w:rsidR="007D4BA9" w:rsidRDefault="007D4BA9">
            <w:pPr>
              <w:pStyle w:val="ConsPlusNormal"/>
              <w:jc w:val="center"/>
            </w:pPr>
            <w:r>
              <w:t>18,3</w:t>
            </w:r>
          </w:p>
        </w:tc>
      </w:tr>
      <w:tr w:rsidR="007D4BA9">
        <w:tc>
          <w:tcPr>
            <w:tcW w:w="2472" w:type="dxa"/>
          </w:tcPr>
          <w:p w:rsidR="007D4BA9" w:rsidRDefault="007D4BA9">
            <w:pPr>
              <w:pStyle w:val="ConsPlusNormal"/>
              <w:jc w:val="center"/>
            </w:pPr>
            <w:r>
              <w:t>17</w:t>
            </w:r>
          </w:p>
        </w:tc>
        <w:tc>
          <w:tcPr>
            <w:tcW w:w="6463" w:type="dxa"/>
          </w:tcPr>
          <w:p w:rsidR="007D4BA9" w:rsidRDefault="007D4BA9">
            <w:pPr>
              <w:pStyle w:val="ConsPlusNormal"/>
              <w:jc w:val="center"/>
            </w:pPr>
            <w:r>
              <w:t>18,5</w:t>
            </w:r>
          </w:p>
        </w:tc>
      </w:tr>
      <w:tr w:rsidR="007D4BA9">
        <w:tc>
          <w:tcPr>
            <w:tcW w:w="2472" w:type="dxa"/>
          </w:tcPr>
          <w:p w:rsidR="007D4BA9" w:rsidRDefault="007D4BA9">
            <w:pPr>
              <w:pStyle w:val="ConsPlusNormal"/>
              <w:jc w:val="center"/>
            </w:pPr>
            <w:r>
              <w:t>18</w:t>
            </w:r>
          </w:p>
        </w:tc>
        <w:tc>
          <w:tcPr>
            <w:tcW w:w="6463" w:type="dxa"/>
          </w:tcPr>
          <w:p w:rsidR="007D4BA9" w:rsidRDefault="007D4BA9">
            <w:pPr>
              <w:pStyle w:val="ConsPlusNormal"/>
              <w:jc w:val="center"/>
            </w:pPr>
            <w:r>
              <w:t>18,7</w:t>
            </w:r>
          </w:p>
        </w:tc>
      </w:tr>
      <w:tr w:rsidR="007D4BA9">
        <w:tc>
          <w:tcPr>
            <w:tcW w:w="2472" w:type="dxa"/>
          </w:tcPr>
          <w:p w:rsidR="007D4BA9" w:rsidRDefault="007D4BA9">
            <w:pPr>
              <w:pStyle w:val="ConsPlusNormal"/>
              <w:jc w:val="center"/>
            </w:pPr>
            <w:r>
              <w:t>19</w:t>
            </w:r>
          </w:p>
        </w:tc>
        <w:tc>
          <w:tcPr>
            <w:tcW w:w="6463" w:type="dxa"/>
          </w:tcPr>
          <w:p w:rsidR="007D4BA9" w:rsidRDefault="007D4BA9">
            <w:pPr>
              <w:pStyle w:val="ConsPlusNormal"/>
              <w:jc w:val="center"/>
            </w:pPr>
            <w:r>
              <w:t>18,9</w:t>
            </w:r>
          </w:p>
        </w:tc>
      </w:tr>
      <w:tr w:rsidR="007D4BA9">
        <w:tc>
          <w:tcPr>
            <w:tcW w:w="2472" w:type="dxa"/>
          </w:tcPr>
          <w:p w:rsidR="007D4BA9" w:rsidRDefault="007D4BA9">
            <w:pPr>
              <w:pStyle w:val="ConsPlusNormal"/>
              <w:jc w:val="center"/>
            </w:pPr>
            <w:r>
              <w:t>20</w:t>
            </w:r>
          </w:p>
        </w:tc>
        <w:tc>
          <w:tcPr>
            <w:tcW w:w="6463" w:type="dxa"/>
          </w:tcPr>
          <w:p w:rsidR="007D4BA9" w:rsidRDefault="007D4BA9">
            <w:pPr>
              <w:pStyle w:val="ConsPlusNormal"/>
              <w:jc w:val="center"/>
            </w:pPr>
            <w:r>
              <w:t>20,0</w:t>
            </w:r>
          </w:p>
        </w:tc>
      </w:tr>
      <w:tr w:rsidR="007D4BA9">
        <w:tc>
          <w:tcPr>
            <w:tcW w:w="2472" w:type="dxa"/>
          </w:tcPr>
          <w:p w:rsidR="007D4BA9" w:rsidRDefault="007D4BA9">
            <w:pPr>
              <w:pStyle w:val="ConsPlusNormal"/>
              <w:jc w:val="center"/>
            </w:pPr>
            <w:r>
              <w:t>21</w:t>
            </w:r>
          </w:p>
        </w:tc>
        <w:tc>
          <w:tcPr>
            <w:tcW w:w="6463" w:type="dxa"/>
          </w:tcPr>
          <w:p w:rsidR="007D4BA9" w:rsidRDefault="007D4BA9">
            <w:pPr>
              <w:pStyle w:val="ConsPlusNormal"/>
              <w:jc w:val="center"/>
            </w:pPr>
            <w:r>
              <w:t>21,0</w:t>
            </w:r>
          </w:p>
        </w:tc>
      </w:tr>
      <w:tr w:rsidR="007D4BA9">
        <w:tc>
          <w:tcPr>
            <w:tcW w:w="2472" w:type="dxa"/>
          </w:tcPr>
          <w:p w:rsidR="007D4BA9" w:rsidRDefault="007D4BA9">
            <w:pPr>
              <w:pStyle w:val="ConsPlusNormal"/>
              <w:jc w:val="center"/>
            </w:pPr>
            <w:r>
              <w:t>22</w:t>
            </w:r>
          </w:p>
        </w:tc>
        <w:tc>
          <w:tcPr>
            <w:tcW w:w="6463" w:type="dxa"/>
          </w:tcPr>
          <w:p w:rsidR="007D4BA9" w:rsidRDefault="007D4BA9">
            <w:pPr>
              <w:pStyle w:val="ConsPlusNormal"/>
              <w:jc w:val="center"/>
            </w:pPr>
            <w:r>
              <w:t>22,0</w:t>
            </w:r>
          </w:p>
        </w:tc>
      </w:tr>
      <w:tr w:rsidR="007D4BA9">
        <w:tc>
          <w:tcPr>
            <w:tcW w:w="2472" w:type="dxa"/>
          </w:tcPr>
          <w:p w:rsidR="007D4BA9" w:rsidRDefault="007D4BA9">
            <w:pPr>
              <w:pStyle w:val="ConsPlusNormal"/>
              <w:jc w:val="center"/>
            </w:pPr>
            <w:r>
              <w:t>23</w:t>
            </w:r>
          </w:p>
        </w:tc>
        <w:tc>
          <w:tcPr>
            <w:tcW w:w="6463" w:type="dxa"/>
          </w:tcPr>
          <w:p w:rsidR="007D4BA9" w:rsidRDefault="007D4BA9">
            <w:pPr>
              <w:pStyle w:val="ConsPlusNormal"/>
              <w:jc w:val="center"/>
            </w:pPr>
            <w:r>
              <w:t>23,0</w:t>
            </w:r>
          </w:p>
        </w:tc>
      </w:tr>
      <w:tr w:rsidR="007D4BA9">
        <w:tc>
          <w:tcPr>
            <w:tcW w:w="2472" w:type="dxa"/>
          </w:tcPr>
          <w:p w:rsidR="007D4BA9" w:rsidRDefault="007D4BA9">
            <w:pPr>
              <w:pStyle w:val="ConsPlusNormal"/>
              <w:jc w:val="center"/>
            </w:pPr>
            <w:r>
              <w:t>24</w:t>
            </w:r>
          </w:p>
        </w:tc>
        <w:tc>
          <w:tcPr>
            <w:tcW w:w="6463" w:type="dxa"/>
          </w:tcPr>
          <w:p w:rsidR="007D4BA9" w:rsidRDefault="007D4BA9">
            <w:pPr>
              <w:pStyle w:val="ConsPlusNormal"/>
              <w:jc w:val="center"/>
            </w:pPr>
            <w:r>
              <w:t>24,0</w:t>
            </w:r>
          </w:p>
        </w:tc>
      </w:tr>
      <w:tr w:rsidR="007D4BA9">
        <w:tc>
          <w:tcPr>
            <w:tcW w:w="2472" w:type="dxa"/>
          </w:tcPr>
          <w:p w:rsidR="007D4BA9" w:rsidRDefault="007D4BA9">
            <w:pPr>
              <w:pStyle w:val="ConsPlusNormal"/>
              <w:jc w:val="center"/>
            </w:pPr>
            <w:r>
              <w:t>25 и выше</w:t>
            </w:r>
          </w:p>
        </w:tc>
        <w:tc>
          <w:tcPr>
            <w:tcW w:w="6463" w:type="dxa"/>
          </w:tcPr>
          <w:p w:rsidR="007D4BA9" w:rsidRDefault="007D4BA9">
            <w:pPr>
              <w:pStyle w:val="ConsPlusNormal"/>
              <w:jc w:val="center"/>
            </w:pPr>
            <w:r>
              <w:t>25,0</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6" w:name="P400"/>
      <w:bookmarkEnd w:id="6"/>
      <w:r>
        <w:t>&lt;*&gt; Расчетные показатели принимаются в соответствии с республиканскими нормативами градостроительного проектирования.</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1. Подземные автостоянки и наземные многоуровневые паркинги размещаются в границах проекта планировки территории в радиусе 500 м или пешеходной доступности 800 м от проектируемой жилой застройки.</w:t>
      </w:r>
    </w:p>
    <w:p w:rsidR="007D4BA9" w:rsidRDefault="007D4BA9">
      <w:pPr>
        <w:pStyle w:val="ConsPlusNormal"/>
        <w:spacing w:before="220"/>
        <w:ind w:firstLine="540"/>
        <w:jc w:val="both"/>
      </w:pPr>
      <w:r>
        <w:t>2. Минимальный размер земельного участка для наземных стоянок должен быть не менее 25 кв. м на одно место.</w:t>
      </w:r>
    </w:p>
    <w:p w:rsidR="007D4BA9" w:rsidRDefault="007D4BA9">
      <w:pPr>
        <w:pStyle w:val="ConsPlusNormal"/>
        <w:spacing w:before="220"/>
        <w:ind w:firstLine="540"/>
        <w:jc w:val="both"/>
      </w:pPr>
      <w:r>
        <w:t xml:space="preserve">Для наземных открытых автостоянок рекомендуется не менее 18 кв. м (25 кв. м с учетом участков проездов, необходимых для маневрирования при </w:t>
      </w:r>
      <w:proofErr w:type="spellStart"/>
      <w:r>
        <w:t>паркировании</w:t>
      </w:r>
      <w:proofErr w:type="spellEnd"/>
      <w:r>
        <w:t xml:space="preserve"> автомобилей, в том числе по смежным территориям общего пользования и земельным участкам, разрешенное использование которых допускает организацию проездов по ним, способов расстановки легковых </w:t>
      </w:r>
      <w:r>
        <w:lastRenderedPageBreak/>
        <w:t>автомобилей на открытых автостоянках).</w:t>
      </w:r>
    </w:p>
    <w:p w:rsidR="007D4BA9" w:rsidRDefault="007D4BA9">
      <w:pPr>
        <w:pStyle w:val="ConsPlusNormal"/>
        <w:spacing w:before="220"/>
        <w:ind w:firstLine="540"/>
        <w:jc w:val="both"/>
      </w:pPr>
      <w:r>
        <w:t>3. В случае поэтапного ввода жилищного фонда в границах проекта планировки территории должно быть сформировано 100 процентов обеспеченности местами из числа мест, предусмотренных для постоянного хранения автомобилей для каждой очереди.</w:t>
      </w:r>
    </w:p>
    <w:p w:rsidR="007D4BA9" w:rsidRDefault="007D4BA9">
      <w:pPr>
        <w:pStyle w:val="ConsPlusNormal"/>
        <w:spacing w:before="220"/>
        <w:ind w:firstLine="540"/>
        <w:jc w:val="both"/>
      </w:pPr>
      <w:r>
        <w:t xml:space="preserve">4. Плотность застройки, приведенная в </w:t>
      </w:r>
      <w:hyperlink w:anchor="P345">
        <w:r>
          <w:rPr>
            <w:color w:val="0000FF"/>
          </w:rPr>
          <w:t>таблице 5</w:t>
        </w:r>
      </w:hyperlink>
      <w:r>
        <w:t>, может быть увеличена не более чем на 20 процентов с соблюдением установленных условий обеспеченности местами для хранения автомобилей жителей при строительстве жилищного фонда в следующих случаях:</w:t>
      </w:r>
    </w:p>
    <w:p w:rsidR="007D4BA9" w:rsidRDefault="007D4BA9">
      <w:pPr>
        <w:pStyle w:val="ConsPlusNormal"/>
        <w:spacing w:before="220"/>
        <w:ind w:firstLine="540"/>
        <w:jc w:val="both"/>
      </w:pPr>
      <w:r>
        <w:t>1) на реорганизуемой территории;</w:t>
      </w:r>
    </w:p>
    <w:p w:rsidR="007D4BA9" w:rsidRDefault="007D4BA9">
      <w:pPr>
        <w:pStyle w:val="ConsPlusNormal"/>
        <w:spacing w:before="220"/>
        <w:ind w:firstLine="540"/>
        <w:jc w:val="both"/>
      </w:pPr>
      <w:r>
        <w:t>2) при строительстве жилых домов, связанных с защитой прав граждан - участников долевого строительства многоквартирных домов, пострадавших от действий (бездействия) недобросовестных застройщиков.</w:t>
      </w:r>
    </w:p>
    <w:p w:rsidR="007D4BA9" w:rsidRDefault="007D4BA9">
      <w:pPr>
        <w:pStyle w:val="ConsPlusNormal"/>
        <w:spacing w:before="220"/>
        <w:ind w:firstLine="540"/>
        <w:jc w:val="both"/>
      </w:pPr>
      <w:r>
        <w:t>При наличии нескольких условий общее увеличение плотности не суммируется и не должно превышать 20 процентов.</w:t>
      </w:r>
    </w:p>
    <w:p w:rsidR="007D4BA9" w:rsidRDefault="007D4BA9">
      <w:pPr>
        <w:pStyle w:val="ConsPlusNormal"/>
        <w:spacing w:before="220"/>
        <w:ind w:firstLine="540"/>
        <w:jc w:val="both"/>
      </w:pPr>
      <w:r>
        <w:t>5. Допустимая погрешность показателей общей площади квартир может составлять один процент.</w:t>
      </w:r>
    </w:p>
    <w:p w:rsidR="007D4BA9" w:rsidRDefault="007D4BA9">
      <w:pPr>
        <w:pStyle w:val="ConsPlusNormal"/>
        <w:spacing w:before="220"/>
        <w:ind w:firstLine="540"/>
        <w:jc w:val="both"/>
      </w:pPr>
      <w:r>
        <w:t xml:space="preserve">6. Плотность застройки, приведенная в </w:t>
      </w:r>
      <w:hyperlink w:anchor="P345">
        <w:r>
          <w:rPr>
            <w:color w:val="0000FF"/>
          </w:rPr>
          <w:t>таблице 5</w:t>
        </w:r>
      </w:hyperlink>
      <w:r>
        <w:t>, может быть увеличена в соответствии с Административным регламентом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7D4BA9" w:rsidRDefault="007D4BA9">
      <w:pPr>
        <w:pStyle w:val="ConsPlusNormal"/>
        <w:spacing w:before="220"/>
        <w:ind w:firstLine="540"/>
        <w:jc w:val="both"/>
      </w:pPr>
      <w:r>
        <w:t xml:space="preserve">7. В случае переменной этажности указанная в </w:t>
      </w:r>
      <w:hyperlink w:anchor="P345">
        <w:r>
          <w:rPr>
            <w:color w:val="0000FF"/>
          </w:rPr>
          <w:t>таблице 5</w:t>
        </w:r>
      </w:hyperlink>
      <w:r>
        <w:t xml:space="preserve"> плотность рассчитывается исходя из средней этажности жилых домов (отношение суммарной поэтажной площади наземной части жилых домов в габаритах наружных стен к площади застройки жилых домов).</w:t>
      </w:r>
    </w:p>
    <w:p w:rsidR="007D4BA9" w:rsidRDefault="007D4BA9">
      <w:pPr>
        <w:pStyle w:val="ConsPlusNormal"/>
        <w:jc w:val="both"/>
      </w:pPr>
    </w:p>
    <w:p w:rsidR="007D4BA9" w:rsidRDefault="007D4BA9">
      <w:pPr>
        <w:pStyle w:val="ConsPlusTitle"/>
        <w:jc w:val="center"/>
        <w:outlineLvl w:val="2"/>
      </w:pPr>
      <w:r>
        <w:t>Глава 9. ТРЕБОВАНИЯ К РАЗМЕЩЕНИЮ ВСТРОЕННЫХ, ПРИСТРОЕННЫХ</w:t>
      </w:r>
    </w:p>
    <w:p w:rsidR="007D4BA9" w:rsidRDefault="007D4BA9">
      <w:pPr>
        <w:pStyle w:val="ConsPlusTitle"/>
        <w:jc w:val="center"/>
      </w:pPr>
      <w:r>
        <w:t>И ВСТРОЕННО-ПРИСТРОЕННЫХ ПОМЕЩЕНИЙ ОБЩЕСТВЕННОГО НАЗНАЧЕНИЯ</w:t>
      </w:r>
    </w:p>
    <w:p w:rsidR="007D4BA9" w:rsidRDefault="007D4BA9">
      <w:pPr>
        <w:pStyle w:val="ConsPlusTitle"/>
        <w:jc w:val="center"/>
      </w:pPr>
      <w:r>
        <w:t>ЖИЛОГО ДОМА</w:t>
      </w:r>
    </w:p>
    <w:p w:rsidR="007D4BA9" w:rsidRDefault="007D4BA9">
      <w:pPr>
        <w:pStyle w:val="ConsPlusNormal"/>
        <w:jc w:val="both"/>
      </w:pPr>
    </w:p>
    <w:p w:rsidR="007D4BA9" w:rsidRDefault="007D4BA9">
      <w:pPr>
        <w:pStyle w:val="ConsPlusNormal"/>
        <w:ind w:firstLine="540"/>
        <w:jc w:val="both"/>
      </w:pPr>
      <w:r>
        <w:t xml:space="preserve">36. В жилых домах, выходящих фасадом на улицы, объекты обслуживания жилой застройки во встроенных, пристроенных и встроенно-пристроенных помещениях размещаются на первых этажах многоквартирных домов вдоль всего фасада, выходящего на улицу, в соответствии с градостроительными регламентами </w:t>
      </w:r>
      <w:hyperlink r:id="rId22">
        <w:r>
          <w:rPr>
            <w:color w:val="0000FF"/>
          </w:rPr>
          <w:t>Правил</w:t>
        </w:r>
      </w:hyperlink>
      <w:r>
        <w:t xml:space="preserve"> землепользования и застройки.</w:t>
      </w:r>
    </w:p>
    <w:p w:rsidR="007D4BA9" w:rsidRDefault="007D4BA9">
      <w:pPr>
        <w:pStyle w:val="ConsPlusNormal"/>
        <w:spacing w:before="220"/>
        <w:ind w:firstLine="540"/>
        <w:jc w:val="both"/>
      </w:pPr>
      <w:r>
        <w:t>37. При разработке проектов планировки после утверждения Местных нормативов размещение объектов обслуживания жилой застройки во встроенных, пристроенных и встроенно-пристроенных помещениях, не выходящих фасадом на улицу, в многоквартирных домах не допускается.</w:t>
      </w:r>
    </w:p>
    <w:p w:rsidR="007D4BA9" w:rsidRDefault="007D4BA9">
      <w:pPr>
        <w:pStyle w:val="ConsPlusNormal"/>
        <w:spacing w:before="220"/>
        <w:ind w:firstLine="540"/>
        <w:jc w:val="both"/>
      </w:pPr>
      <w:r>
        <w:t>38. При проектировании и строительстве многоквартирных жилых домов необходимо предусматривать высоту нежилого помещения в составе жилого дома, выходящего фасадом на территорию общего пользования, не менее четырех метров.</w:t>
      </w:r>
    </w:p>
    <w:p w:rsidR="007D4BA9" w:rsidRDefault="007D4BA9">
      <w:pPr>
        <w:pStyle w:val="ConsPlusNormal"/>
        <w:spacing w:before="220"/>
        <w:ind w:firstLine="540"/>
        <w:jc w:val="both"/>
      </w:pPr>
      <w:r>
        <w:t>39. При проектировании входных групп в нежилые помещения существующих многоквартирных жилых домов запрещается:</w:t>
      </w:r>
    </w:p>
    <w:p w:rsidR="007D4BA9" w:rsidRDefault="007D4BA9">
      <w:pPr>
        <w:pStyle w:val="ConsPlusNormal"/>
        <w:spacing w:before="220"/>
        <w:ind w:firstLine="540"/>
        <w:jc w:val="both"/>
      </w:pPr>
      <w:r>
        <w:t>1) предусматривать организацию отдельных входов в здание ниже уровня земли на фасадах, выходящих на территорию общего пользования;</w:t>
      </w:r>
    </w:p>
    <w:p w:rsidR="007D4BA9" w:rsidRDefault="007D4BA9">
      <w:pPr>
        <w:pStyle w:val="ConsPlusNormal"/>
        <w:spacing w:before="220"/>
        <w:ind w:firstLine="540"/>
        <w:jc w:val="both"/>
      </w:pPr>
      <w:r>
        <w:t>2) предусматривать организацию отдельных входов в здание (за исключением технических и запасных) со стороны территорий благоустроенных площадок жилого дома.</w:t>
      </w:r>
    </w:p>
    <w:p w:rsidR="007D4BA9" w:rsidRDefault="007D4BA9">
      <w:pPr>
        <w:pStyle w:val="ConsPlusNormal"/>
        <w:spacing w:before="220"/>
        <w:ind w:firstLine="540"/>
        <w:jc w:val="both"/>
      </w:pPr>
      <w:r>
        <w:lastRenderedPageBreak/>
        <w:t>40. Входные группы зданий, сооружений должны быть оборудованы следующими элементами благоустройства: осветительным оборудованием, навесом (козырек), элементами сопряжения поверхностей (ступени), устройствами и приспособлениями для перемещения инвалидов и маломобильных групп населения (пандусы, платформа подъемная, перила).</w:t>
      </w:r>
    </w:p>
    <w:p w:rsidR="007D4BA9" w:rsidRDefault="007D4BA9">
      <w:pPr>
        <w:pStyle w:val="ConsPlusNormal"/>
        <w:spacing w:before="220"/>
        <w:ind w:firstLine="540"/>
        <w:jc w:val="both"/>
      </w:pPr>
      <w:r>
        <w:t>41. Для существующих объектов жилого назначения (за исключением индивидуального жилищного строительства) запрещается устройство входов в общественные помещения ниже уровня земли (подвал и цокольный этаж) на фасадах, выходящих на территорию общего пользования.</w:t>
      </w:r>
    </w:p>
    <w:p w:rsidR="007D4BA9" w:rsidRDefault="007D4BA9">
      <w:pPr>
        <w:pStyle w:val="ConsPlusNormal"/>
        <w:spacing w:before="220"/>
        <w:ind w:firstLine="540"/>
        <w:jc w:val="both"/>
      </w:pPr>
      <w:r>
        <w:t>42. В подвальном, цокольном, первом и втором этажах жилого здания не разрешается размещать:</w:t>
      </w:r>
    </w:p>
    <w:p w:rsidR="007D4BA9" w:rsidRDefault="007D4BA9">
      <w:pPr>
        <w:pStyle w:val="ConsPlusNormal"/>
        <w:spacing w:before="220"/>
        <w:ind w:firstLine="540"/>
        <w:jc w:val="both"/>
      </w:pPr>
      <w:r>
        <w:t>1) специализированные магазины химических и других товаров, эксплуатация которых может вести к загрязнению территории и воздуха жилой застройки, помещения, в том числе магазины с хранением в них сжиженных газов, легковоспламеняющихся и горючих жидкостей, взрывчатых веществ, способных взрываться и гореть при взаимодействии с водой, кислородом воздуха или друг с другом, товаров в аэрозольной упаковке, пиротехнических изделий;</w:t>
      </w:r>
    </w:p>
    <w:p w:rsidR="007D4BA9" w:rsidRDefault="007D4BA9">
      <w:pPr>
        <w:pStyle w:val="ConsPlusNormal"/>
        <w:spacing w:before="220"/>
        <w:ind w:firstLine="540"/>
        <w:jc w:val="both"/>
      </w:pPr>
      <w:r>
        <w:t>2) магазины по продаже синтетических ковровых изделий, автозапчастей, шин и автомобильных масел;</w:t>
      </w:r>
    </w:p>
    <w:p w:rsidR="007D4BA9" w:rsidRDefault="007D4BA9">
      <w:pPr>
        <w:pStyle w:val="ConsPlusNormal"/>
        <w:spacing w:before="220"/>
        <w:ind w:firstLine="540"/>
        <w:jc w:val="both"/>
      </w:pPr>
      <w:r>
        <w:t>3) специализированные рыбные магазины;</w:t>
      </w:r>
    </w:p>
    <w:p w:rsidR="007D4BA9" w:rsidRDefault="007D4BA9">
      <w:pPr>
        <w:pStyle w:val="ConsPlusNormal"/>
        <w:spacing w:before="220"/>
        <w:ind w:firstLine="540"/>
        <w:jc w:val="both"/>
      </w:pPr>
      <w:r>
        <w:t>4) склады любого назначения, в том числе оптовой или мелкооптовой торговли, кроме складских помещений, входящих в состав общественных учреждений, имеющих эвакуационные выходы, изолированные от эвакуационных путей жилой части здания (правило не распространяется на встроенные автостоянки);</w:t>
      </w:r>
    </w:p>
    <w:p w:rsidR="007D4BA9" w:rsidRDefault="007D4BA9">
      <w:pPr>
        <w:pStyle w:val="ConsPlusNormal"/>
        <w:spacing w:before="220"/>
        <w:ind w:firstLine="540"/>
        <w:jc w:val="both"/>
      </w:pPr>
      <w:r>
        <w:t>5) предприятия бытового обслуживания, в которых применяются легковоспламеняющиеся вещества (кроме парикмахерских и мастерских по ремонту часов общей площадью до 300 кв. м);</w:t>
      </w:r>
    </w:p>
    <w:p w:rsidR="007D4BA9" w:rsidRDefault="007D4BA9">
      <w:pPr>
        <w:pStyle w:val="ConsPlusNormal"/>
        <w:spacing w:before="220"/>
        <w:ind w:firstLine="540"/>
        <w:jc w:val="both"/>
      </w:pPr>
      <w:r>
        <w:t>6) бани;</w:t>
      </w:r>
    </w:p>
    <w:p w:rsidR="007D4BA9" w:rsidRDefault="007D4BA9">
      <w:pPr>
        <w:pStyle w:val="ConsPlusNormal"/>
        <w:spacing w:before="220"/>
        <w:ind w:firstLine="540"/>
        <w:jc w:val="both"/>
      </w:pPr>
      <w:r>
        <w:t>7) предприятия питания и досуга с числом мест более 50 общей площадью более 250 кв. м; все предприятия, функционирующие с музыкальным сопровождением, в том числе дискотеки, танцевальные студии, театры;</w:t>
      </w:r>
    </w:p>
    <w:p w:rsidR="007D4BA9" w:rsidRDefault="007D4BA9">
      <w:pPr>
        <w:pStyle w:val="ConsPlusNormal"/>
        <w:spacing w:before="220"/>
        <w:ind w:firstLine="540"/>
        <w:jc w:val="both"/>
      </w:pPr>
      <w:r>
        <w:t>8) прачечные и химчистки (кроме приемных пунктов и прачечных самообслуживания производительностью до 75 кг в смену);</w:t>
      </w:r>
    </w:p>
    <w:p w:rsidR="007D4BA9" w:rsidRDefault="007D4BA9">
      <w:pPr>
        <w:pStyle w:val="ConsPlusNormal"/>
        <w:spacing w:before="220"/>
        <w:ind w:firstLine="540"/>
        <w:jc w:val="both"/>
      </w:pPr>
      <w:r>
        <w:t>9) общественные туалеты;</w:t>
      </w:r>
    </w:p>
    <w:p w:rsidR="007D4BA9" w:rsidRDefault="007D4BA9">
      <w:pPr>
        <w:pStyle w:val="ConsPlusNormal"/>
        <w:spacing w:before="220"/>
        <w:ind w:firstLine="540"/>
        <w:jc w:val="both"/>
      </w:pPr>
      <w:r>
        <w:t>10) встроенные и пристроенные трансформаторные подстанции;</w:t>
      </w:r>
    </w:p>
    <w:p w:rsidR="007D4BA9" w:rsidRDefault="007D4BA9">
      <w:pPr>
        <w:pStyle w:val="ConsPlusNormal"/>
        <w:spacing w:before="220"/>
        <w:ind w:firstLine="540"/>
        <w:jc w:val="both"/>
      </w:pPr>
      <w:r>
        <w:t>11) производственные помещения;</w:t>
      </w:r>
    </w:p>
    <w:p w:rsidR="007D4BA9" w:rsidRDefault="007D4BA9">
      <w:pPr>
        <w:pStyle w:val="ConsPlusNormal"/>
        <w:spacing w:before="220"/>
        <w:ind w:firstLine="540"/>
        <w:jc w:val="both"/>
      </w:pPr>
      <w:r>
        <w:t>12) психиатрические, инфекционные и фтизиатрические кабинеты врачебного приема; отделения (кабинеты) магнитно-резонансной томографии;</w:t>
      </w:r>
    </w:p>
    <w:p w:rsidR="007D4BA9" w:rsidRDefault="007D4BA9">
      <w:pPr>
        <w:pStyle w:val="ConsPlusNormal"/>
        <w:spacing w:before="220"/>
        <w:ind w:firstLine="540"/>
        <w:jc w:val="both"/>
      </w:pPr>
      <w:r>
        <w:t>13) хосписы;</w:t>
      </w:r>
    </w:p>
    <w:p w:rsidR="007D4BA9" w:rsidRDefault="007D4BA9">
      <w:pPr>
        <w:pStyle w:val="ConsPlusNormal"/>
        <w:spacing w:before="220"/>
        <w:ind w:firstLine="540"/>
        <w:jc w:val="both"/>
      </w:pPr>
      <w:r>
        <w:t>14) рентгеновские кабинеты, а также помещения с лечебной или диагностической аппаратурой и установками, являющимися источниками ионизирующего излучения, превышающего допустимый уровень, установленный санитарно-эпидемиологическими правилами.</w:t>
      </w:r>
    </w:p>
    <w:p w:rsidR="007D4BA9" w:rsidRDefault="007D4BA9">
      <w:pPr>
        <w:pStyle w:val="ConsPlusNormal"/>
        <w:spacing w:before="220"/>
        <w:ind w:firstLine="540"/>
        <w:jc w:val="both"/>
      </w:pPr>
      <w:r>
        <w:lastRenderedPageBreak/>
        <w:t>43. При новом жилищном строительстве в случаях размещения нежилых объектов на нижних этажах жилых домов они должны быть отделены от жилых помещений противопожарными, звукоизолирующими перекрытиями и перегородками, иметь самостоятельные шахты для вентиляции.</w:t>
      </w:r>
    </w:p>
    <w:p w:rsidR="007D4BA9" w:rsidRDefault="007D4BA9">
      <w:pPr>
        <w:pStyle w:val="ConsPlusNormal"/>
        <w:jc w:val="both"/>
      </w:pPr>
    </w:p>
    <w:p w:rsidR="007D4BA9" w:rsidRDefault="007D4BA9">
      <w:pPr>
        <w:pStyle w:val="ConsPlusTitle"/>
        <w:jc w:val="center"/>
        <w:outlineLvl w:val="2"/>
      </w:pPr>
      <w:r>
        <w:t>Глава 10. ТРЕБОВАНИЯ К ОРГАНИЗАЦИИ МЕСТ (ПЛОЩАДОК)</w:t>
      </w:r>
    </w:p>
    <w:p w:rsidR="007D4BA9" w:rsidRDefault="007D4BA9">
      <w:pPr>
        <w:pStyle w:val="ConsPlusTitle"/>
        <w:jc w:val="center"/>
      </w:pPr>
      <w:r>
        <w:t>НАКОПЛЕНИЯ ТВЕРДЫХ КОММУНАЛЬНЫХ ОТХОДОВ</w:t>
      </w:r>
    </w:p>
    <w:p w:rsidR="007D4BA9" w:rsidRDefault="007D4BA9">
      <w:pPr>
        <w:pStyle w:val="ConsPlusNormal"/>
        <w:jc w:val="both"/>
      </w:pPr>
    </w:p>
    <w:p w:rsidR="007D4BA9" w:rsidRDefault="007D4BA9">
      <w:pPr>
        <w:pStyle w:val="ConsPlusNormal"/>
        <w:ind w:firstLine="540"/>
        <w:jc w:val="both"/>
      </w:pPr>
      <w:r>
        <w:t>44. Территория мест (площадок) накопления ТКО должна примыкать к внутриквартальным проездам шириной не менее 6 м, в противном случае к ним должны быть организованы подъезд транспорта для очистки контейнеров и разворотные площадки (диаметром не менее 16 м).</w:t>
      </w:r>
    </w:p>
    <w:p w:rsidR="007D4BA9" w:rsidRDefault="007D4BA9">
      <w:pPr>
        <w:pStyle w:val="ConsPlusNormal"/>
        <w:spacing w:before="220"/>
        <w:ind w:firstLine="540"/>
        <w:jc w:val="both"/>
      </w:pPr>
      <w:r>
        <w:t>45. Места (площадки) накопления ТКО необходимо размещать вне зоны прямой видимости с транзитных транспортных и пешеходных коммуникаций. Территория мест (площадок) накопления ТКО должна быть расположена в зоне затенения (прилегающей застройкой, навесами или посадками зеленых насаждений).</w:t>
      </w:r>
    </w:p>
    <w:p w:rsidR="007D4BA9" w:rsidRDefault="007D4BA9">
      <w:pPr>
        <w:pStyle w:val="ConsPlusNormal"/>
        <w:spacing w:before="220"/>
        <w:ind w:firstLine="540"/>
        <w:jc w:val="both"/>
      </w:pPr>
      <w:r>
        <w:t>46. Места (площадки) накопления ТКО должны быть открытыми, освещаемыми, с водонепроницаемым покрытием, ограничены бордюром (ограждением из стандартных железобетонных изделий или других материалов).</w:t>
      </w:r>
    </w:p>
    <w:p w:rsidR="007D4BA9" w:rsidRDefault="007D4BA9">
      <w:pPr>
        <w:pStyle w:val="ConsPlusNormal"/>
        <w:spacing w:before="220"/>
        <w:ind w:firstLine="540"/>
        <w:jc w:val="both"/>
      </w:pPr>
      <w:r>
        <w:t>47. Создание мест (площадок) накопления ТКО устанавливаются муниципальными правовыми актами Исполнительного комитета.</w:t>
      </w:r>
    </w:p>
    <w:p w:rsidR="007D4BA9" w:rsidRDefault="007D4BA9">
      <w:pPr>
        <w:pStyle w:val="ConsPlusNormal"/>
        <w:spacing w:before="220"/>
        <w:ind w:firstLine="540"/>
        <w:jc w:val="both"/>
      </w:pPr>
      <w:r>
        <w:t xml:space="preserve">48. Реестр и схема размещения мест (площадок) накопления ТКО на территории города </w:t>
      </w:r>
      <w:r w:rsidR="000B30E9">
        <w:t>Нижнекамск</w:t>
      </w:r>
      <w:r>
        <w:t xml:space="preserve"> ведутся Исполнительным комитетом на бумажном носителе и в электронном виде и размещаются на официальном сайте города в сети Интернет.</w:t>
      </w:r>
    </w:p>
    <w:p w:rsidR="007D4BA9" w:rsidRDefault="007D4BA9">
      <w:pPr>
        <w:pStyle w:val="ConsPlusNormal"/>
        <w:spacing w:before="220"/>
        <w:ind w:firstLine="540"/>
        <w:jc w:val="both"/>
      </w:pPr>
      <w:r>
        <w:t>49. В случае раздельного накопления отходов на контейнерной площадке должны быть предусмотрены контейнеры для каждого вида отходов или группы однородных отходов, исключающие смешивание различных видов отходов или групп отходов, либо групп однородных отходов.</w:t>
      </w:r>
    </w:p>
    <w:p w:rsidR="007D4BA9" w:rsidRDefault="007D4BA9">
      <w:pPr>
        <w:pStyle w:val="ConsPlusNormal"/>
        <w:spacing w:before="220"/>
        <w:ind w:firstLine="540"/>
        <w:jc w:val="both"/>
      </w:pPr>
      <w:r>
        <w:t>50. Для жилых домов, не имеющих мусоропроводов, размер мест (площадок) накопления ТКО должен быть рассчитан на установку необходимого числа контейнеров. На территории жилого назначения места (площадки) накопления ТКО следует проектировать из расчета одна площадка на 6 - 8 подъездов жилых домов, имеющих мусоропроводы; если подъездов меньше - одно место (площадка) накопления ТКО при каждом доме.</w:t>
      </w:r>
    </w:p>
    <w:p w:rsidR="007D4BA9" w:rsidRDefault="007D4BA9">
      <w:pPr>
        <w:pStyle w:val="ConsPlusNormal"/>
        <w:spacing w:before="220"/>
        <w:ind w:firstLine="540"/>
        <w:jc w:val="both"/>
      </w:pPr>
      <w:r>
        <w:t>51. Размер контейнерной площадки следует определять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7D4BA9" w:rsidRDefault="007D4BA9">
      <w:pPr>
        <w:pStyle w:val="ConsPlusNormal"/>
        <w:spacing w:before="220"/>
        <w:ind w:firstLine="540"/>
        <w:jc w:val="both"/>
      </w:pPr>
      <w:r>
        <w:t xml:space="preserve">52.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регулируется </w:t>
      </w:r>
      <w:hyperlink r:id="rId23">
        <w:r>
          <w:rPr>
            <w:color w:val="0000FF"/>
          </w:rPr>
          <w:t>СанПиН 2.1.3684-21</w:t>
        </w:r>
      </w:hyperlink>
      <w:r>
        <w:t xml:space="preserve">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7D4BA9" w:rsidRDefault="007D4BA9">
      <w:pPr>
        <w:pStyle w:val="ConsPlusNormal"/>
        <w:jc w:val="both"/>
      </w:pPr>
    </w:p>
    <w:p w:rsidR="007D4BA9" w:rsidRDefault="007D4BA9">
      <w:pPr>
        <w:pStyle w:val="ConsPlusTitle"/>
        <w:jc w:val="center"/>
        <w:outlineLvl w:val="2"/>
      </w:pPr>
      <w:r>
        <w:t>Глава 11. ТРЕБОВАНИЯ К ОРГАНИЗАЦИИ ТЕРРИТОРИЙ</w:t>
      </w:r>
    </w:p>
    <w:p w:rsidR="007D4BA9" w:rsidRDefault="007D4BA9">
      <w:pPr>
        <w:pStyle w:val="ConsPlusTitle"/>
        <w:jc w:val="center"/>
      </w:pPr>
      <w:r>
        <w:t>ИНДИВИДУАЛЬНОГО ЖИЛИЩНОГО СТРОИТЕЛЬСТВА. ОБЩИЕ ТРЕБОВАНИЯ</w:t>
      </w:r>
    </w:p>
    <w:p w:rsidR="007D4BA9" w:rsidRDefault="007D4BA9">
      <w:pPr>
        <w:pStyle w:val="ConsPlusTitle"/>
        <w:jc w:val="center"/>
      </w:pPr>
      <w:r>
        <w:t xml:space="preserve">К ОРГАНИЗАЦИИ </w:t>
      </w:r>
      <w:proofErr w:type="gramStart"/>
      <w:r>
        <w:t>МИКРОРАЙОНОВ  ИНДИВИДУАЛЬНОЙ</w:t>
      </w:r>
      <w:proofErr w:type="gramEnd"/>
    </w:p>
    <w:p w:rsidR="007D4BA9" w:rsidRDefault="007D4BA9">
      <w:pPr>
        <w:pStyle w:val="ConsPlusTitle"/>
        <w:jc w:val="center"/>
      </w:pPr>
      <w:r>
        <w:lastRenderedPageBreak/>
        <w:t>И БЛОКИРОВАННОЙ ЖИЛОЙ ЗАСТРОЙКИ</w:t>
      </w:r>
    </w:p>
    <w:p w:rsidR="007D4BA9" w:rsidRDefault="007D4BA9">
      <w:pPr>
        <w:pStyle w:val="ConsPlusNormal"/>
        <w:jc w:val="both"/>
      </w:pPr>
    </w:p>
    <w:p w:rsidR="007D4BA9" w:rsidRDefault="007D4BA9">
      <w:pPr>
        <w:pStyle w:val="ConsPlusNormal"/>
        <w:ind w:firstLine="540"/>
        <w:jc w:val="both"/>
      </w:pPr>
      <w:r>
        <w:t xml:space="preserve">53. Новое индивидуальное жилищное строительство (далее - ИЖС) на вновь осваиваемых земельных участках осуществляется на территориях, предусмотренных Генеральным </w:t>
      </w:r>
      <w:hyperlink r:id="rId24">
        <w:r>
          <w:rPr>
            <w:color w:val="0000FF"/>
          </w:rPr>
          <w:t>планом</w:t>
        </w:r>
      </w:hyperlink>
      <w:r>
        <w:t xml:space="preserve"> для ИЖС, в соответствии с утвержденными проектами планировки и проектами межевания территории.</w:t>
      </w:r>
    </w:p>
    <w:p w:rsidR="007D4BA9" w:rsidRDefault="007D4BA9">
      <w:pPr>
        <w:pStyle w:val="ConsPlusNormal"/>
        <w:spacing w:before="220"/>
        <w:ind w:firstLine="540"/>
        <w:jc w:val="both"/>
      </w:pPr>
      <w:r>
        <w:t>54. При разработке документации по планировке территорий для ИЖС и блокированной жилой застройки для расчета проектной численности населения и определения потребности в объектах социальной инфраструктуры, местах хранения автомобилей и иных расчетных показателей применяется коэффициент домохозяйств на уровне 3,2 чел. на один индивидуальный жилой дом и на один блок в блокированной застройке.</w:t>
      </w:r>
    </w:p>
    <w:p w:rsidR="007D4BA9" w:rsidRDefault="007D4BA9">
      <w:pPr>
        <w:pStyle w:val="ConsPlusNormal"/>
        <w:spacing w:before="220"/>
        <w:ind w:firstLine="540"/>
        <w:jc w:val="both"/>
      </w:pPr>
      <w:r>
        <w:t>55. В существующей застройке потребность обеспеченности объектами местного значения социальной инфраструктуры определяется на основании статистических данных о количестве проживающих на данной территории.</w:t>
      </w:r>
    </w:p>
    <w:p w:rsidR="007D4BA9" w:rsidRDefault="007D4BA9">
      <w:pPr>
        <w:pStyle w:val="ConsPlusNormal"/>
        <w:jc w:val="both"/>
      </w:pPr>
    </w:p>
    <w:p w:rsidR="007D4BA9" w:rsidRDefault="007D4BA9">
      <w:pPr>
        <w:pStyle w:val="ConsPlusTitle"/>
        <w:jc w:val="center"/>
        <w:outlineLvl w:val="2"/>
      </w:pPr>
      <w:r>
        <w:t xml:space="preserve">Глава 12. ТРЕБОВАНИЯ К ОРГАНИЗАЦИИ МИКРОРАЙОНА </w:t>
      </w:r>
      <w:r w:rsidR="007C5BC7">
        <w:t xml:space="preserve"> </w:t>
      </w:r>
    </w:p>
    <w:p w:rsidR="007D4BA9" w:rsidRDefault="007D4BA9">
      <w:pPr>
        <w:pStyle w:val="ConsPlusTitle"/>
        <w:jc w:val="center"/>
      </w:pPr>
      <w:r>
        <w:t>ИЖС И БЛОКИРОВАННОЙ ЖИЛОЙ ЗАСТРОЙКИ</w:t>
      </w:r>
    </w:p>
    <w:p w:rsidR="007D4BA9" w:rsidRDefault="007D4BA9">
      <w:pPr>
        <w:pStyle w:val="ConsPlusNormal"/>
        <w:jc w:val="both"/>
      </w:pPr>
    </w:p>
    <w:p w:rsidR="007D4BA9" w:rsidRDefault="007D4BA9">
      <w:pPr>
        <w:pStyle w:val="ConsPlusNormal"/>
        <w:ind w:firstLine="540"/>
        <w:jc w:val="both"/>
      </w:pPr>
      <w:r>
        <w:t xml:space="preserve">56. Для жилого микрорайона </w:t>
      </w:r>
      <w:r w:rsidR="007C5BC7">
        <w:t xml:space="preserve"> </w:t>
      </w:r>
      <w:r>
        <w:t xml:space="preserve"> ИЖС обязательна организация въезда на каждый участок ИЖС с УДС местного значения в красных линиях. Запрещен прямой выезд с отдельного участка непосредственно на улицы общегородского значения и более высокого класса. Возможен въезд с дублирующих основную сеть проездов. Запрещается размещать на индивидуальных земельных участках коммерческие объекты, имеющие выезды на улицы категорий выше местного значения.</w:t>
      </w:r>
    </w:p>
    <w:p w:rsidR="007D4BA9" w:rsidRDefault="007D4BA9">
      <w:pPr>
        <w:pStyle w:val="ConsPlusNormal"/>
        <w:spacing w:before="220"/>
        <w:ind w:firstLine="540"/>
        <w:jc w:val="both"/>
      </w:pPr>
      <w:r>
        <w:t xml:space="preserve">57. Для жилого микрорайона </w:t>
      </w:r>
      <w:r w:rsidR="007C5BC7">
        <w:t xml:space="preserve"> </w:t>
      </w:r>
      <w:r>
        <w:t xml:space="preserve"> блокированного жилищного строительства учитывается организация въезда на земельный участок блокированной жилой застройки, которая может быть предусмотрена как с территории общего пользования, так и на земельные участки, предназначенные для внутреннего проезда. Запрещен прямой выезд с отдельного участка непосредственно на улицы общегородского значения и более высокого класса.</w:t>
      </w:r>
    </w:p>
    <w:p w:rsidR="007D4BA9" w:rsidRDefault="007D4BA9">
      <w:pPr>
        <w:pStyle w:val="ConsPlusNormal"/>
        <w:spacing w:before="220"/>
        <w:ind w:firstLine="540"/>
        <w:jc w:val="both"/>
      </w:pPr>
      <w:r>
        <w:t>58. На территориях ИЖС и блокированной жилой застройки размещение культовых объектов возможно только на примыкании улиц, а также на пересечениях улиц при условии возможности организации площадки перед зданием площадью не менее 0,3 кв. м на одного посетителя. Площадки для установки контейнеров для накопления ТКО за пределами индивидуальных жилых участков должны быть удалены от жилых домов, детских учреждений, спортивных площадок и мест отдыха населения на 20 м.</w:t>
      </w:r>
    </w:p>
    <w:p w:rsidR="007D4BA9" w:rsidRDefault="007D4BA9">
      <w:pPr>
        <w:pStyle w:val="ConsPlusNormal"/>
        <w:spacing w:before="220"/>
        <w:ind w:firstLine="540"/>
        <w:jc w:val="both"/>
      </w:pPr>
      <w:r>
        <w:t>59. Площадки проектируются исходя из расчета один контейнер на 66 домохозяйств (2 кв. м на 1 контейнер), но не более пяти штук на одной площадке. Размер площадок должен быть рассчитан на установку расчетного количества контейнеров.</w:t>
      </w:r>
    </w:p>
    <w:p w:rsidR="007D4BA9" w:rsidRDefault="007D4BA9">
      <w:pPr>
        <w:pStyle w:val="ConsPlusNormal"/>
        <w:spacing w:before="220"/>
        <w:ind w:firstLine="540"/>
        <w:jc w:val="both"/>
      </w:pPr>
      <w:r>
        <w:t>60. К площадкам для установки контейнеров должны быть обеспечены подъезды, позволяющие маневрировать обслуживающему транспорту.</w:t>
      </w:r>
    </w:p>
    <w:p w:rsidR="007D4BA9" w:rsidRDefault="007D4BA9">
      <w:pPr>
        <w:pStyle w:val="ConsPlusNormal"/>
        <w:spacing w:before="220"/>
        <w:ind w:firstLine="540"/>
        <w:jc w:val="both"/>
      </w:pPr>
      <w:r>
        <w:t>61. Ширину улицы местного значения рекомендуется принимать 25 м, но не менее 15 м при условии обеспечения раскладки минимального набора инженерных коммуникаций, проектируемых в красных линиях проектируемой улицы. Ширина технического коридора для прокладки инженерных сетей определяется необходимым для инженерно-технического обеспечения территории набором линейных объектов с учетом их охранных зон.</w:t>
      </w:r>
    </w:p>
    <w:p w:rsidR="007D4BA9" w:rsidRDefault="007D4BA9">
      <w:pPr>
        <w:pStyle w:val="ConsPlusNormal"/>
        <w:spacing w:before="220"/>
        <w:ind w:firstLine="540"/>
        <w:jc w:val="both"/>
      </w:pPr>
      <w:r>
        <w:t xml:space="preserve">62. Минимальный набор инженерных коммуникаций: водопровод, хозяйственно-бытовая канализация, дождевая канализация, наружное освещение, </w:t>
      </w:r>
      <w:proofErr w:type="spellStart"/>
      <w:r>
        <w:t>электрокабели</w:t>
      </w:r>
      <w:proofErr w:type="spellEnd"/>
      <w:r>
        <w:t>, слаботочные сети, газопровод низкого давления.</w:t>
      </w:r>
    </w:p>
    <w:p w:rsidR="007D4BA9" w:rsidRDefault="007D4BA9">
      <w:pPr>
        <w:pStyle w:val="ConsPlusNormal"/>
        <w:spacing w:before="220"/>
        <w:ind w:firstLine="540"/>
        <w:jc w:val="both"/>
      </w:pPr>
      <w:r>
        <w:lastRenderedPageBreak/>
        <w:t>63. Рекомендуется технические коридоры под размещение инженерных сетей располагать с двух сторон от проезжей части дороги, трассы газопровода низкого давления, водопровода размещать с каждой стороны проезжей части дороги во избежание частого ее пересечения к каждому индивидуальному жилому дому и в целях сохранения благоустройства, в конце проезжих частей тупиковых улиц и дорог устраивать разворотные площадки размером не менее 16 x 16 м.</w:t>
      </w:r>
    </w:p>
    <w:p w:rsidR="007D4BA9" w:rsidRDefault="007D4BA9">
      <w:pPr>
        <w:pStyle w:val="ConsPlusNormal"/>
        <w:spacing w:before="220"/>
        <w:ind w:firstLine="540"/>
        <w:jc w:val="both"/>
      </w:pPr>
      <w:r>
        <w:t>64. Вдоль всей УДС обязательна организация тротуаров в красных линиях минимальной шириной 1 м. Минимальное расстояние от границы проезжей части до тротуара - 1 м. Ось тротуара вдоль улично-дорожной сети должна быть непрерывна и проходить на фиксированном расстоянии от проезжей части в отдельно взятом и смежных микрорайонах (комплексах).</w:t>
      </w:r>
    </w:p>
    <w:p w:rsidR="007D4BA9" w:rsidRDefault="007D4BA9">
      <w:pPr>
        <w:pStyle w:val="ConsPlusNormal"/>
        <w:jc w:val="both"/>
      </w:pPr>
    </w:p>
    <w:p w:rsidR="007D4BA9" w:rsidRDefault="007D4BA9">
      <w:pPr>
        <w:pStyle w:val="ConsPlusTitle"/>
        <w:jc w:val="center"/>
        <w:outlineLvl w:val="2"/>
      </w:pPr>
      <w:r>
        <w:t>Глава 13. ТРЕБОВАНИЯ К ОРГАНИЗАЦИИ ЗЕМЕЛЬНЫХ УЧАСТКОВ ИЖС</w:t>
      </w:r>
    </w:p>
    <w:p w:rsidR="007D4BA9" w:rsidRDefault="007D4BA9">
      <w:pPr>
        <w:pStyle w:val="ConsPlusTitle"/>
        <w:jc w:val="center"/>
      </w:pPr>
      <w:r>
        <w:t>И БЛОКИРОВАННОЙ ЖИЛОЙ ЗАСТРОЙКИ</w:t>
      </w:r>
    </w:p>
    <w:p w:rsidR="007D4BA9" w:rsidRDefault="007D4BA9">
      <w:pPr>
        <w:pStyle w:val="ConsPlusNormal"/>
        <w:jc w:val="both"/>
      </w:pPr>
    </w:p>
    <w:p w:rsidR="007D4BA9" w:rsidRDefault="007D4BA9">
      <w:pPr>
        <w:pStyle w:val="ConsPlusNormal"/>
        <w:ind w:firstLine="540"/>
        <w:jc w:val="both"/>
      </w:pPr>
      <w:r>
        <w:t>65. Требования распространяются на земельные участки объектов нового жилищного строительства.</w:t>
      </w:r>
    </w:p>
    <w:p w:rsidR="007D4BA9" w:rsidRDefault="007D4BA9">
      <w:pPr>
        <w:pStyle w:val="ConsPlusNormal"/>
        <w:spacing w:before="220"/>
        <w:ind w:firstLine="540"/>
        <w:jc w:val="both"/>
      </w:pPr>
      <w:r>
        <w:t>66. Для ИЖС обязательна организация въезда на каждый участок с УДС районного и местного значения в красных линиях. Запрещен прямой выезд с отдельного участка непосредственно на УДС межрайонного значения и более высокого класса. Возможен въезд с дублирующих основную сеть проездов.</w:t>
      </w:r>
    </w:p>
    <w:p w:rsidR="007D4BA9" w:rsidRDefault="007D4BA9">
      <w:pPr>
        <w:pStyle w:val="ConsPlusNormal"/>
        <w:spacing w:before="220"/>
        <w:ind w:firstLine="540"/>
        <w:jc w:val="both"/>
      </w:pPr>
      <w:r>
        <w:t>67. Для блокированной жилой застройки организация въезда на земельный участок блокированной жилой застройки может быть предусмотрена как с территории общего пользования, так и на земельные участки, предназначенные для внутреннего проезда. Запрещен прямой выезд с отдельного участка непосредственно на улицы общегородского значения и более высокого класса.</w:t>
      </w:r>
    </w:p>
    <w:p w:rsidR="007D4BA9" w:rsidRDefault="007D4BA9">
      <w:pPr>
        <w:pStyle w:val="ConsPlusNormal"/>
        <w:spacing w:before="220"/>
        <w:ind w:firstLine="540"/>
        <w:jc w:val="both"/>
      </w:pPr>
      <w:r>
        <w:t xml:space="preserve">68. Места хранения и </w:t>
      </w:r>
      <w:proofErr w:type="spellStart"/>
      <w:r>
        <w:t>паркирования</w:t>
      </w:r>
      <w:proofErr w:type="spellEnd"/>
      <w:r>
        <w:t xml:space="preserve"> легкового автотранспорта жителей размещаются в границах земельного участка из расчета: для ИЖС - не менее одного </w:t>
      </w:r>
      <w:proofErr w:type="spellStart"/>
      <w:r>
        <w:t>машино</w:t>
      </w:r>
      <w:proofErr w:type="spellEnd"/>
      <w:r>
        <w:t xml:space="preserve">-места на дом, для блокированной жилой застройки - не менее одного </w:t>
      </w:r>
      <w:proofErr w:type="spellStart"/>
      <w:r>
        <w:t>машино</w:t>
      </w:r>
      <w:proofErr w:type="spellEnd"/>
      <w:r>
        <w:t>-места на блок.</w:t>
      </w:r>
    </w:p>
    <w:p w:rsidR="007D4BA9" w:rsidRDefault="007D4BA9">
      <w:pPr>
        <w:pStyle w:val="ConsPlusNormal"/>
        <w:jc w:val="both"/>
      </w:pPr>
    </w:p>
    <w:p w:rsidR="007D4BA9" w:rsidRDefault="007D4BA9">
      <w:pPr>
        <w:pStyle w:val="ConsPlusTitle"/>
        <w:jc w:val="center"/>
        <w:outlineLvl w:val="2"/>
      </w:pPr>
      <w:r>
        <w:t>Глава 14. ТРЕБОВАНИЯ К ОРГАНИЗАЦИИ ОБЩЕСТВЕННО-ДЕЛОВЫХ</w:t>
      </w:r>
    </w:p>
    <w:p w:rsidR="007D4BA9" w:rsidRDefault="007D4BA9">
      <w:pPr>
        <w:pStyle w:val="ConsPlusTitle"/>
        <w:jc w:val="center"/>
      </w:pPr>
      <w:r>
        <w:t>ТЕРРИТОРИЙ</w:t>
      </w:r>
    </w:p>
    <w:p w:rsidR="007D4BA9" w:rsidRDefault="007D4BA9">
      <w:pPr>
        <w:pStyle w:val="ConsPlusNormal"/>
        <w:jc w:val="both"/>
      </w:pPr>
    </w:p>
    <w:p w:rsidR="007D4BA9" w:rsidRDefault="007D4BA9">
      <w:pPr>
        <w:pStyle w:val="ConsPlusNormal"/>
        <w:ind w:firstLine="540"/>
        <w:jc w:val="both"/>
      </w:pPr>
      <w:r>
        <w:t>69. Общественно-деловые территории формируют систему общегородских центров и в виде участков размещаются в жилых и иных функциональных зонах. Общественно-деловые территории предназначены для размещения объектов социального, бытового и медицинского обслуживания, здравоохранения, образования, культурного развития, просвещения, религиозного использования, научной деятельности и общественного управления.</w:t>
      </w:r>
    </w:p>
    <w:p w:rsidR="007D4BA9" w:rsidRDefault="007D4BA9">
      <w:pPr>
        <w:pStyle w:val="ConsPlusNormal"/>
        <w:spacing w:before="220"/>
        <w:ind w:firstLine="540"/>
        <w:jc w:val="both"/>
      </w:pPr>
      <w:r>
        <w:t>70. Общественно-деловые территории подразделяются на:</w:t>
      </w:r>
    </w:p>
    <w:p w:rsidR="007D4BA9" w:rsidRDefault="007D4BA9">
      <w:pPr>
        <w:pStyle w:val="ConsPlusNormal"/>
        <w:spacing w:before="220"/>
        <w:ind w:firstLine="540"/>
        <w:jc w:val="both"/>
      </w:pPr>
      <w:r>
        <w:t>1) территории и участки общественно-деловой застройки общегородского центра. Градостроительное развитие данной территории возможно при условии обеспечения целостности сложившейся исторической среды и при соблюдении требований законодательства в области охраны объектов культурного наследия;</w:t>
      </w:r>
    </w:p>
    <w:p w:rsidR="007D4BA9" w:rsidRDefault="007D4BA9">
      <w:pPr>
        <w:pStyle w:val="ConsPlusNormal"/>
        <w:spacing w:before="220"/>
        <w:ind w:firstLine="540"/>
        <w:jc w:val="both"/>
      </w:pPr>
      <w:r>
        <w:t>2) территории и участки общественно-деловой застройки локальных центров жилых районов срединного пояса и на периферийных территориях.</w:t>
      </w:r>
    </w:p>
    <w:p w:rsidR="007D4BA9" w:rsidRDefault="007D4BA9">
      <w:pPr>
        <w:pStyle w:val="ConsPlusNormal"/>
        <w:spacing w:before="220"/>
        <w:ind w:firstLine="540"/>
        <w:jc w:val="both"/>
      </w:pPr>
      <w:r>
        <w:t>71. Для общественно-деловых территорий нормируются:</w:t>
      </w:r>
    </w:p>
    <w:p w:rsidR="007D4BA9" w:rsidRDefault="007D4BA9">
      <w:pPr>
        <w:pStyle w:val="ConsPlusNormal"/>
        <w:spacing w:before="220"/>
        <w:ind w:firstLine="540"/>
        <w:jc w:val="both"/>
      </w:pPr>
      <w:r>
        <w:t>1) пешеходная доступность остановок общественного пассажирского транспорта;</w:t>
      </w:r>
    </w:p>
    <w:p w:rsidR="007D4BA9" w:rsidRDefault="007D4BA9">
      <w:pPr>
        <w:pStyle w:val="ConsPlusNormal"/>
        <w:spacing w:before="220"/>
        <w:ind w:firstLine="540"/>
        <w:jc w:val="both"/>
      </w:pPr>
      <w:r>
        <w:t xml:space="preserve">2) обеспеченность местами </w:t>
      </w:r>
      <w:proofErr w:type="spellStart"/>
      <w:r>
        <w:t>паркирования</w:t>
      </w:r>
      <w:proofErr w:type="spellEnd"/>
      <w:r>
        <w:t xml:space="preserve"> автомобилей в соответствии с </w:t>
      </w:r>
      <w:hyperlink w:anchor="P1682">
        <w:r>
          <w:rPr>
            <w:color w:val="0000FF"/>
          </w:rPr>
          <w:t>главой 33</w:t>
        </w:r>
      </w:hyperlink>
      <w:r>
        <w:t>;</w:t>
      </w:r>
    </w:p>
    <w:p w:rsidR="007D4BA9" w:rsidRDefault="007D4BA9">
      <w:pPr>
        <w:pStyle w:val="ConsPlusNormal"/>
        <w:spacing w:before="220"/>
        <w:ind w:firstLine="540"/>
        <w:jc w:val="both"/>
      </w:pPr>
      <w:r>
        <w:lastRenderedPageBreak/>
        <w:t xml:space="preserve">3) возможность беспрепятственного передвижения маломобильных групп населения на всем пространстве пешеходной зоны в соответствии с </w:t>
      </w:r>
      <w:hyperlink r:id="rId25">
        <w:r>
          <w:rPr>
            <w:color w:val="0000FF"/>
          </w:rPr>
          <w:t>СП 59.13330.2020</w:t>
        </w:r>
      </w:hyperlink>
      <w:r>
        <w:t xml:space="preserve"> "Свод правил. Доступность зданий и сооружений для маломобильных групп населения. СНиП 35-01-2001".</w:t>
      </w:r>
    </w:p>
    <w:p w:rsidR="007D4BA9" w:rsidRDefault="007D4BA9">
      <w:pPr>
        <w:pStyle w:val="ConsPlusNormal"/>
        <w:spacing w:before="220"/>
        <w:ind w:firstLine="540"/>
        <w:jc w:val="both"/>
      </w:pPr>
      <w:r>
        <w:t>72. В общественно-деловой застройке не разрешается размещение в многоквартирных жилых домах жилых помещений со стороны главного фасада на первых этажах зданий, выходящих на улицы общегородского значения и примыкающих к пешеходной зоне.</w:t>
      </w:r>
    </w:p>
    <w:p w:rsidR="007D4BA9" w:rsidRDefault="007D4BA9">
      <w:pPr>
        <w:pStyle w:val="ConsPlusNormal"/>
        <w:spacing w:before="220"/>
        <w:ind w:firstLine="540"/>
        <w:jc w:val="both"/>
      </w:pPr>
      <w:r>
        <w:t xml:space="preserve">73. При проектировании и строительстве зданий общественного назначения необходимо предусматривать высоту первого этажа здания не менее 4,0 м и уровень открытой площадки крыльца входной группы первого этажа не выше 45 см от нижней точки </w:t>
      </w:r>
      <w:proofErr w:type="spellStart"/>
      <w:r>
        <w:t>отмостки</w:t>
      </w:r>
      <w:proofErr w:type="spellEnd"/>
      <w:r>
        <w:t>.</w:t>
      </w:r>
    </w:p>
    <w:p w:rsidR="007D4BA9" w:rsidRDefault="007D4BA9">
      <w:pPr>
        <w:pStyle w:val="ConsPlusNormal"/>
        <w:jc w:val="both"/>
      </w:pPr>
    </w:p>
    <w:p w:rsidR="007D4BA9" w:rsidRDefault="007D4BA9">
      <w:pPr>
        <w:pStyle w:val="ConsPlusTitle"/>
        <w:jc w:val="center"/>
        <w:outlineLvl w:val="2"/>
      </w:pPr>
      <w:r>
        <w:t>Глава 15. ТРЕБОВАНИЯ К РАЗМЕЩЕНИЮ НЕСТАЦИОНАРНЫХ</w:t>
      </w:r>
    </w:p>
    <w:p w:rsidR="007D4BA9" w:rsidRDefault="007D4BA9">
      <w:pPr>
        <w:pStyle w:val="ConsPlusTitle"/>
        <w:jc w:val="center"/>
      </w:pPr>
      <w:r>
        <w:t>ТОРГОВЫХ ОБЪЕКТОВ</w:t>
      </w:r>
    </w:p>
    <w:p w:rsidR="007D4BA9" w:rsidRDefault="007D4BA9">
      <w:pPr>
        <w:pStyle w:val="ConsPlusNormal"/>
        <w:jc w:val="both"/>
      </w:pPr>
    </w:p>
    <w:p w:rsidR="007D4BA9" w:rsidRDefault="007D4BA9">
      <w:pPr>
        <w:pStyle w:val="ConsPlusNormal"/>
        <w:ind w:firstLine="540"/>
        <w:jc w:val="both"/>
      </w:pPr>
      <w:r>
        <w:t>74. Не допускается размещение нестационарных торговых объектов на территории земельных участков, предназначенных для размещения объектов капитального строения: общественно-деловых, административных торговых центров, объектов обслуживания автотранспорта и производственно-складских помещений, АЗС, АГЗС, мойки автомобилей.</w:t>
      </w:r>
    </w:p>
    <w:p w:rsidR="007D4BA9" w:rsidRDefault="007D4BA9">
      <w:pPr>
        <w:pStyle w:val="ConsPlusNormal"/>
        <w:jc w:val="both"/>
      </w:pPr>
    </w:p>
    <w:p w:rsidR="007D4BA9" w:rsidRDefault="007D4BA9">
      <w:pPr>
        <w:pStyle w:val="ConsPlusTitle"/>
        <w:jc w:val="center"/>
        <w:outlineLvl w:val="2"/>
      </w:pPr>
      <w:r>
        <w:t>Глава 16. ТРЕБОВАНИЯ К ОРГАНИЗАЦИИ БЕЗБАРЬЕРНОЙ СРЕДЫ</w:t>
      </w:r>
    </w:p>
    <w:p w:rsidR="007D4BA9" w:rsidRDefault="007D4BA9">
      <w:pPr>
        <w:pStyle w:val="ConsPlusTitle"/>
        <w:jc w:val="center"/>
      </w:pPr>
      <w:r>
        <w:t>ДЛЯ МАЛОМОБИЛЬНЫХ ГРУПП НАСЕЛЕНИЯ</w:t>
      </w:r>
    </w:p>
    <w:p w:rsidR="007D4BA9" w:rsidRDefault="007D4BA9">
      <w:pPr>
        <w:pStyle w:val="ConsPlusNormal"/>
        <w:jc w:val="both"/>
      </w:pPr>
    </w:p>
    <w:p w:rsidR="007D4BA9" w:rsidRDefault="007D4BA9">
      <w:pPr>
        <w:pStyle w:val="ConsPlusNormal"/>
        <w:ind w:firstLine="540"/>
        <w:jc w:val="both"/>
      </w:pPr>
      <w:r>
        <w:t xml:space="preserve">75. При проектировании новых, реконструкции существующих, а также подлежащих капитальному ремонту и приспособлению зданий и сооружений необходимо учитывать положения </w:t>
      </w:r>
      <w:hyperlink r:id="rId26">
        <w:r>
          <w:rPr>
            <w:color w:val="0000FF"/>
          </w:rPr>
          <w:t>СП 59.13330.2020</w:t>
        </w:r>
      </w:hyperlink>
      <w:r>
        <w:t xml:space="preserve"> "Свод правил. Доступность зданий и сооружений для маломобильных групп населения. СНиП 35-01-2001".</w:t>
      </w:r>
    </w:p>
    <w:p w:rsidR="007D4BA9" w:rsidRDefault="007D4BA9">
      <w:pPr>
        <w:pStyle w:val="ConsPlusNormal"/>
        <w:jc w:val="both"/>
      </w:pPr>
    </w:p>
    <w:p w:rsidR="007D4BA9" w:rsidRDefault="007D4BA9">
      <w:pPr>
        <w:pStyle w:val="ConsPlusTitle"/>
        <w:jc w:val="center"/>
        <w:outlineLvl w:val="2"/>
      </w:pPr>
      <w:r>
        <w:t>Глава 17. ТРЕБОВАНИЯ К ОРГАНИЗАЦИИ ПРОИЗВОДСТВЕННЫХ</w:t>
      </w:r>
    </w:p>
    <w:p w:rsidR="007D4BA9" w:rsidRDefault="007D4BA9">
      <w:pPr>
        <w:pStyle w:val="ConsPlusTitle"/>
        <w:jc w:val="center"/>
      </w:pPr>
      <w:r>
        <w:t>ТЕРРИТОРИЙ</w:t>
      </w:r>
    </w:p>
    <w:p w:rsidR="007D4BA9" w:rsidRDefault="007D4BA9">
      <w:pPr>
        <w:pStyle w:val="ConsPlusNormal"/>
        <w:jc w:val="both"/>
      </w:pPr>
    </w:p>
    <w:p w:rsidR="007D4BA9" w:rsidRDefault="007D4BA9">
      <w:pPr>
        <w:pStyle w:val="ConsPlusNormal"/>
        <w:ind w:firstLine="540"/>
        <w:jc w:val="both"/>
      </w:pPr>
      <w:r>
        <w:t xml:space="preserve">76. Вокруг строящихся, действующих и реконструируемых производств и объектов промышленной инфраструктуры устанавливаются санитарно-защитные зоны в соответствии с </w:t>
      </w:r>
      <w:hyperlink r:id="rId27">
        <w:r>
          <w:rPr>
            <w:color w:val="0000FF"/>
          </w:rPr>
          <w:t>СанПиН 2.2.1/2.1.1.1200-03</w:t>
        </w:r>
      </w:hyperlink>
      <w:r>
        <w:t xml:space="preserve"> "Санитарно-защитные зоны и санитарная классификация предприятий, сооружений и иных объектов".</w:t>
      </w:r>
    </w:p>
    <w:p w:rsidR="007D4BA9" w:rsidRDefault="007D4BA9">
      <w:pPr>
        <w:pStyle w:val="ConsPlusNormal"/>
        <w:spacing w:before="220"/>
        <w:ind w:firstLine="540"/>
        <w:jc w:val="both"/>
      </w:pPr>
      <w:r>
        <w:t>77. В санитарно-защитной зоне не допускается размещать:</w:t>
      </w:r>
    </w:p>
    <w:p w:rsidR="007D4BA9" w:rsidRDefault="007D4BA9">
      <w:pPr>
        <w:pStyle w:val="ConsPlusNormal"/>
        <w:spacing w:before="220"/>
        <w:ind w:firstLine="540"/>
        <w:jc w:val="both"/>
      </w:pPr>
      <w:r>
        <w:t>1) новую жилую застройку, включая отдельные жилые дома;</w:t>
      </w:r>
    </w:p>
    <w:p w:rsidR="007D4BA9" w:rsidRDefault="007D4BA9">
      <w:pPr>
        <w:pStyle w:val="ConsPlusNormal"/>
        <w:spacing w:before="220"/>
        <w:ind w:firstLine="540"/>
        <w:jc w:val="both"/>
      </w:pPr>
      <w:r>
        <w:t>2) ландшафтно-рекреационные зоны;</w:t>
      </w:r>
    </w:p>
    <w:p w:rsidR="007D4BA9" w:rsidRDefault="007D4BA9">
      <w:pPr>
        <w:pStyle w:val="ConsPlusNormal"/>
        <w:spacing w:before="220"/>
        <w:ind w:firstLine="540"/>
        <w:jc w:val="both"/>
      </w:pPr>
      <w:r>
        <w:t>3) зоны отдыха;</w:t>
      </w:r>
    </w:p>
    <w:p w:rsidR="007D4BA9" w:rsidRDefault="007D4BA9">
      <w:pPr>
        <w:pStyle w:val="ConsPlusNormal"/>
        <w:spacing w:before="220"/>
        <w:ind w:firstLine="540"/>
        <w:jc w:val="both"/>
      </w:pPr>
      <w:r>
        <w:t>4) территории санаториев и домов отдыха;</w:t>
      </w:r>
    </w:p>
    <w:p w:rsidR="007D4BA9" w:rsidRDefault="007D4BA9">
      <w:pPr>
        <w:pStyle w:val="ConsPlusNormal"/>
        <w:spacing w:before="220"/>
        <w:ind w:firstLine="540"/>
        <w:jc w:val="both"/>
      </w:pPr>
      <w:r>
        <w:t>5) территории садоводческих, огороднических объединений граждан;</w:t>
      </w:r>
    </w:p>
    <w:p w:rsidR="007D4BA9" w:rsidRDefault="007D4BA9">
      <w:pPr>
        <w:pStyle w:val="ConsPlusNormal"/>
        <w:spacing w:before="220"/>
        <w:ind w:firstLine="540"/>
        <w:jc w:val="both"/>
      </w:pPr>
      <w:r>
        <w:t>6) территории ИЖС;</w:t>
      </w:r>
    </w:p>
    <w:p w:rsidR="007D4BA9" w:rsidRDefault="007D4BA9">
      <w:pPr>
        <w:pStyle w:val="ConsPlusNormal"/>
        <w:spacing w:before="220"/>
        <w:ind w:firstLine="540"/>
        <w:jc w:val="both"/>
      </w:pPr>
      <w:r>
        <w:t>7) другие территории с нормируемыми показателями качества среды обитания;</w:t>
      </w:r>
    </w:p>
    <w:p w:rsidR="007D4BA9" w:rsidRDefault="007D4BA9">
      <w:pPr>
        <w:pStyle w:val="ConsPlusNormal"/>
        <w:spacing w:before="220"/>
        <w:ind w:firstLine="540"/>
        <w:jc w:val="both"/>
      </w:pPr>
      <w:r>
        <w:t>8) спортивные сооружения;</w:t>
      </w:r>
    </w:p>
    <w:p w:rsidR="007D4BA9" w:rsidRDefault="007D4BA9">
      <w:pPr>
        <w:pStyle w:val="ConsPlusNormal"/>
        <w:spacing w:before="220"/>
        <w:ind w:firstLine="540"/>
        <w:jc w:val="both"/>
      </w:pPr>
      <w:r>
        <w:t>9) детские площадки;</w:t>
      </w:r>
    </w:p>
    <w:p w:rsidR="007D4BA9" w:rsidRDefault="007D4BA9">
      <w:pPr>
        <w:pStyle w:val="ConsPlusNormal"/>
        <w:spacing w:before="220"/>
        <w:ind w:firstLine="540"/>
        <w:jc w:val="both"/>
      </w:pPr>
      <w:r>
        <w:lastRenderedPageBreak/>
        <w:t>10) образовательные и детские организации;</w:t>
      </w:r>
    </w:p>
    <w:p w:rsidR="007D4BA9" w:rsidRDefault="007D4BA9">
      <w:pPr>
        <w:pStyle w:val="ConsPlusNormal"/>
        <w:spacing w:before="220"/>
        <w:ind w:firstLine="540"/>
        <w:jc w:val="both"/>
      </w:pPr>
      <w:r>
        <w:t>11) лечебно-профилактические и оздоровительные учреждения общего пользования.</w:t>
      </w:r>
    </w:p>
    <w:p w:rsidR="007D4BA9" w:rsidRDefault="007D4BA9">
      <w:pPr>
        <w:pStyle w:val="ConsPlusNormal"/>
        <w:spacing w:before="220"/>
        <w:ind w:firstLine="540"/>
        <w:jc w:val="both"/>
      </w:pPr>
      <w:r>
        <w:t>78. В санитарно-защитной зоне и на территории объектов других отраслей промышленности не допускается размещать:</w:t>
      </w:r>
    </w:p>
    <w:p w:rsidR="007D4BA9" w:rsidRDefault="007D4BA9">
      <w:pPr>
        <w:pStyle w:val="ConsPlusNormal"/>
        <w:spacing w:before="220"/>
        <w:ind w:firstLine="540"/>
        <w:jc w:val="both"/>
      </w:pPr>
      <w:r>
        <w:t>1) объекты по производству лекарственных веществ, лекарственных средств и (или) лекарственных форм;</w:t>
      </w:r>
    </w:p>
    <w:p w:rsidR="007D4BA9" w:rsidRDefault="007D4BA9">
      <w:pPr>
        <w:pStyle w:val="ConsPlusNormal"/>
        <w:spacing w:before="220"/>
        <w:ind w:firstLine="540"/>
        <w:jc w:val="both"/>
      </w:pPr>
      <w:r>
        <w:t>2) склады сырья и полупродуктов для фармацевтических предприятий;</w:t>
      </w:r>
    </w:p>
    <w:p w:rsidR="007D4BA9" w:rsidRDefault="007D4BA9">
      <w:pPr>
        <w:pStyle w:val="ConsPlusNormal"/>
        <w:spacing w:before="220"/>
        <w:ind w:firstLine="540"/>
        <w:jc w:val="both"/>
      </w:pPr>
      <w:r>
        <w:t>3) объекты пищевых отраслей промышленности;</w:t>
      </w:r>
    </w:p>
    <w:p w:rsidR="007D4BA9" w:rsidRDefault="007D4BA9">
      <w:pPr>
        <w:pStyle w:val="ConsPlusNormal"/>
        <w:spacing w:before="220"/>
        <w:ind w:firstLine="540"/>
        <w:jc w:val="both"/>
      </w:pPr>
      <w:r>
        <w:t>4) оптовые склады продовольственного сырья и пищевых продуктов;</w:t>
      </w:r>
    </w:p>
    <w:p w:rsidR="007D4BA9" w:rsidRDefault="007D4BA9">
      <w:pPr>
        <w:pStyle w:val="ConsPlusNormal"/>
        <w:spacing w:before="220"/>
        <w:ind w:firstLine="540"/>
        <w:jc w:val="both"/>
      </w:pPr>
      <w:r>
        <w:t>5) комплексы водопроводных сооружений для подготовки и хранения питьевой воды, которые могут повлиять на качество продукции.</w:t>
      </w:r>
    </w:p>
    <w:p w:rsidR="007D4BA9" w:rsidRDefault="007D4BA9">
      <w:pPr>
        <w:pStyle w:val="ConsPlusNormal"/>
        <w:spacing w:before="220"/>
        <w:ind w:firstLine="540"/>
        <w:jc w:val="both"/>
      </w:pPr>
      <w:r>
        <w:t>79. Территория санитарно-защитных зон не должна использоваться для рекреационных целей и производства сельскохозяйственной продукции.</w:t>
      </w:r>
    </w:p>
    <w:p w:rsidR="007D4BA9" w:rsidRDefault="007D4BA9">
      <w:pPr>
        <w:pStyle w:val="ConsPlusNormal"/>
        <w:spacing w:before="220"/>
        <w:ind w:firstLine="540"/>
        <w:jc w:val="both"/>
      </w:pPr>
      <w:r>
        <w:t xml:space="preserve">80. Разрешается размещать в границах санитарно-защитной зоны промышленного объекта или производства здания и сооружения, предусмотренные </w:t>
      </w:r>
      <w:hyperlink r:id="rId28">
        <w:r>
          <w:rPr>
            <w:color w:val="0000FF"/>
          </w:rPr>
          <w:t>Правилами</w:t>
        </w:r>
      </w:hyperlink>
      <w:r>
        <w:t xml:space="preserve"> землепользования и застройки для соответствующей территориальной зоны.</w:t>
      </w:r>
    </w:p>
    <w:p w:rsidR="007D4BA9" w:rsidRDefault="007D4BA9">
      <w:pPr>
        <w:pStyle w:val="ConsPlusNormal"/>
        <w:spacing w:before="220"/>
        <w:ind w:firstLine="540"/>
        <w:jc w:val="both"/>
      </w:pPr>
      <w:r>
        <w:t xml:space="preserve">81. При определении расстояний между зданиями и сооружениями на территории производственных объектов следует руководствоваться требованиями </w:t>
      </w:r>
      <w:hyperlink r:id="rId29">
        <w:r>
          <w:rPr>
            <w:color w:val="0000FF"/>
          </w:rPr>
          <w:t>СП 4.13130.2013</w:t>
        </w:r>
      </w:hyperlink>
      <w: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 в части степени огнестойкости, класса конструктивной пожарной опасности и категории по взрывопожарной и пожарной опасности.</w:t>
      </w:r>
    </w:p>
    <w:p w:rsidR="007D4BA9" w:rsidRDefault="007D4BA9">
      <w:pPr>
        <w:pStyle w:val="ConsPlusNormal"/>
        <w:spacing w:before="220"/>
        <w:ind w:firstLine="540"/>
        <w:jc w:val="both"/>
      </w:pPr>
      <w:r>
        <w:t>82. При планировочном формировании производственной территории необходимо, чтобы производственные объекты размещались достаточно компактно в составе групп с кооперацией подсобно-вспомогательных служб, систем инженерного и транспортного обеспечения, культурно-бытового обслуживания, складских помещений.</w:t>
      </w:r>
    </w:p>
    <w:p w:rsidR="007D4BA9" w:rsidRDefault="007D4BA9">
      <w:pPr>
        <w:pStyle w:val="ConsPlusNormal"/>
        <w:spacing w:before="220"/>
        <w:ind w:firstLine="540"/>
        <w:jc w:val="both"/>
      </w:pPr>
      <w:r>
        <w:t>83. Функционально-планировочная организация производственных территорий предусматривается в виде кварталов (в границах красных линий), в пределах которых размещаются основные и вспомогательные производства предприятий, с учетом санитарно-гигиенических и противопожарных требований к их размещению, грузооборота и видов транспорта, а также очередности строительства.</w:t>
      </w:r>
    </w:p>
    <w:p w:rsidR="007D4BA9" w:rsidRDefault="007D4BA9">
      <w:pPr>
        <w:pStyle w:val="ConsPlusNormal"/>
        <w:spacing w:before="220"/>
        <w:ind w:firstLine="540"/>
        <w:jc w:val="both"/>
      </w:pPr>
      <w:r>
        <w:t xml:space="preserve">84. Объекты с источниками загрязнения атмосферного воздуха размещаются по отношению к жилой застройке с учетом ветров преобладающего направления согласно </w:t>
      </w:r>
      <w:hyperlink r:id="rId30">
        <w:r>
          <w:rPr>
            <w:color w:val="0000FF"/>
          </w:rPr>
          <w:t>СП 42.13330.2016</w:t>
        </w:r>
      </w:hyperlink>
      <w:r>
        <w:t>.</w:t>
      </w:r>
    </w:p>
    <w:p w:rsidR="007D4BA9" w:rsidRDefault="007D4BA9">
      <w:pPr>
        <w:pStyle w:val="ConsPlusNormal"/>
        <w:spacing w:before="220"/>
        <w:ind w:firstLine="540"/>
        <w:jc w:val="both"/>
      </w:pPr>
      <w:r>
        <w:t xml:space="preserve">85. В случае размещения объектов на территории жилой и общественной застройки, создающих при своем функционировании уровни шума более 50 </w:t>
      </w:r>
      <w:proofErr w:type="spellStart"/>
      <w:r>
        <w:t>дБА</w:t>
      </w:r>
      <w:proofErr w:type="spellEnd"/>
      <w:r>
        <w:t xml:space="preserve">, предусматриваются </w:t>
      </w:r>
      <w:proofErr w:type="spellStart"/>
      <w:r>
        <w:t>шумозащитные</w:t>
      </w:r>
      <w:proofErr w:type="spellEnd"/>
      <w:r>
        <w:t xml:space="preserve"> мероприятия согласно </w:t>
      </w:r>
      <w:hyperlink r:id="rId31">
        <w:r>
          <w:rPr>
            <w:color w:val="0000FF"/>
          </w:rPr>
          <w:t>СП 18.13330.2019</w:t>
        </w:r>
      </w:hyperlink>
      <w:r>
        <w:t>.</w:t>
      </w:r>
    </w:p>
    <w:p w:rsidR="007D4BA9" w:rsidRDefault="007D4BA9">
      <w:pPr>
        <w:pStyle w:val="ConsPlusNormal"/>
        <w:spacing w:before="220"/>
        <w:ind w:firstLine="540"/>
        <w:jc w:val="both"/>
      </w:pPr>
      <w:r>
        <w:t xml:space="preserve">86. На территории земельных участков промышленных объектов необходимо предусматривать места для </w:t>
      </w:r>
      <w:proofErr w:type="spellStart"/>
      <w:r>
        <w:t>паркирования</w:t>
      </w:r>
      <w:proofErr w:type="spellEnd"/>
      <w:r>
        <w:t xml:space="preserve"> автомобилей сотрудников и посетителей промышленных предприятий.</w:t>
      </w:r>
    </w:p>
    <w:p w:rsidR="007D4BA9" w:rsidRDefault="007D4BA9">
      <w:pPr>
        <w:pStyle w:val="ConsPlusNormal"/>
        <w:jc w:val="both"/>
      </w:pPr>
    </w:p>
    <w:p w:rsidR="007D4BA9" w:rsidRDefault="007D4BA9">
      <w:pPr>
        <w:pStyle w:val="ConsPlusTitle"/>
        <w:jc w:val="center"/>
        <w:outlineLvl w:val="2"/>
      </w:pPr>
      <w:r>
        <w:t>Глава 18. ТРЕБОВАНИЯ К УСТАНОВЛЕНИЮ КРАСНЫХ ЛИНИЙ</w:t>
      </w:r>
    </w:p>
    <w:p w:rsidR="007D4BA9" w:rsidRDefault="007D4BA9">
      <w:pPr>
        <w:pStyle w:val="ConsPlusTitle"/>
        <w:jc w:val="center"/>
      </w:pPr>
      <w:r>
        <w:t>И ЛИНИЙ ГРАДОСТРОИТЕЛЬНОГО РЕГУЛИРОВАНИЯ</w:t>
      </w:r>
    </w:p>
    <w:p w:rsidR="007D4BA9" w:rsidRDefault="007D4BA9">
      <w:pPr>
        <w:pStyle w:val="ConsPlusNormal"/>
        <w:jc w:val="both"/>
      </w:pPr>
    </w:p>
    <w:p w:rsidR="007D4BA9" w:rsidRDefault="007D4BA9">
      <w:pPr>
        <w:pStyle w:val="ConsPlusNormal"/>
        <w:ind w:firstLine="540"/>
        <w:jc w:val="both"/>
      </w:pPr>
      <w:r>
        <w:t>87. Линии градостроительного регулирования должны отображаться в документах территориального планирования и документации по планировке территории.</w:t>
      </w:r>
    </w:p>
    <w:p w:rsidR="007D4BA9" w:rsidRDefault="007D4BA9">
      <w:pPr>
        <w:pStyle w:val="ConsPlusNormal"/>
        <w:spacing w:before="220"/>
        <w:ind w:firstLine="540"/>
        <w:jc w:val="both"/>
      </w:pPr>
      <w:r>
        <w:t xml:space="preserve">88. Красные линии утверждаются в составе проектов планировки территории и межевания территории в соответствии с требованиями Градостроительного </w:t>
      </w:r>
      <w:hyperlink r:id="rId32">
        <w:r>
          <w:rPr>
            <w:color w:val="0000FF"/>
          </w:rPr>
          <w:t>кодекса</w:t>
        </w:r>
      </w:hyperlink>
      <w:r>
        <w:t xml:space="preserve"> Российской Федерации.</w:t>
      </w:r>
    </w:p>
    <w:p w:rsidR="007D4BA9" w:rsidRDefault="007D4BA9">
      <w:pPr>
        <w:pStyle w:val="ConsPlusNormal"/>
        <w:spacing w:before="220"/>
        <w:ind w:firstLine="540"/>
        <w:jc w:val="both"/>
      </w:pPr>
      <w:r>
        <w:t xml:space="preserve">89. Красные линии являются основой для разбивки и установления на местности других линий градостроительного регулирования, линии регулирования застройки и других, определяющих особые условия использования и застройки территории, устанавливаемых на схеме зон с особыми условиями использования территории (в рамках подготовки </w:t>
      </w:r>
      <w:hyperlink r:id="rId33">
        <w:r>
          <w:rPr>
            <w:color w:val="0000FF"/>
          </w:rPr>
          <w:t>Правил</w:t>
        </w:r>
      </w:hyperlink>
      <w:r>
        <w:t xml:space="preserve"> землепользования и застройки), проектах планировки территорий и иных документах в соответствии с законодательством Российской Федерации.</w:t>
      </w:r>
    </w:p>
    <w:p w:rsidR="007D4BA9" w:rsidRDefault="007D4BA9">
      <w:pPr>
        <w:pStyle w:val="ConsPlusNormal"/>
        <w:jc w:val="both"/>
      </w:pPr>
    </w:p>
    <w:p w:rsidR="007D4BA9" w:rsidRDefault="007D4BA9">
      <w:pPr>
        <w:pStyle w:val="ConsPlusTitle"/>
        <w:jc w:val="center"/>
        <w:outlineLvl w:val="2"/>
      </w:pPr>
      <w:r>
        <w:t>Глава 19. ПРИРОДНО-РЕКРЕАЦИОННЫЙ КОМПЛЕКС (ПРК)</w:t>
      </w:r>
    </w:p>
    <w:p w:rsidR="007D4BA9" w:rsidRDefault="007D4BA9">
      <w:pPr>
        <w:pStyle w:val="ConsPlusNormal"/>
        <w:jc w:val="both"/>
      </w:pPr>
    </w:p>
    <w:p w:rsidR="007D4BA9" w:rsidRDefault="007D4BA9">
      <w:pPr>
        <w:pStyle w:val="ConsPlusNormal"/>
        <w:ind w:firstLine="540"/>
        <w:jc w:val="both"/>
      </w:pPr>
      <w:r>
        <w:t xml:space="preserve">90. ПРК - одна из важнейших составных частей планировочной структуры города </w:t>
      </w:r>
      <w:r w:rsidR="000B30E9">
        <w:t>Нижнекамск</w:t>
      </w:r>
      <w:r>
        <w:t>.</w:t>
      </w:r>
    </w:p>
    <w:p w:rsidR="007D4BA9" w:rsidRDefault="007D4BA9">
      <w:pPr>
        <w:pStyle w:val="ConsPlusNormal"/>
        <w:spacing w:before="220"/>
        <w:ind w:firstLine="540"/>
        <w:jc w:val="both"/>
      </w:pPr>
      <w:r>
        <w:t>91. Цель создания ПРК:</w:t>
      </w:r>
    </w:p>
    <w:p w:rsidR="007D4BA9" w:rsidRDefault="007D4BA9">
      <w:pPr>
        <w:pStyle w:val="ConsPlusNormal"/>
        <w:spacing w:before="220"/>
        <w:ind w:firstLine="540"/>
        <w:jc w:val="both"/>
      </w:pPr>
      <w:r>
        <w:t>1) формирование и поддержание экологического благополучия и комфортных условий для отдыха населения;</w:t>
      </w:r>
    </w:p>
    <w:p w:rsidR="007D4BA9" w:rsidRDefault="007D4BA9">
      <w:pPr>
        <w:pStyle w:val="ConsPlusNormal"/>
        <w:spacing w:before="220"/>
        <w:ind w:firstLine="540"/>
        <w:jc w:val="both"/>
      </w:pPr>
      <w:r>
        <w:t xml:space="preserve">2) сохранение существующих и создание новых озелененных территорий, обеспечение населения города </w:t>
      </w:r>
      <w:r w:rsidR="000B30E9">
        <w:t>Нижнекамск</w:t>
      </w:r>
      <w:r>
        <w:t xml:space="preserve"> нормативным объемом озеленения на краткосрочный и долгосрочный период.</w:t>
      </w:r>
    </w:p>
    <w:p w:rsidR="007D4BA9" w:rsidRDefault="007D4BA9">
      <w:pPr>
        <w:pStyle w:val="ConsPlusNormal"/>
        <w:spacing w:before="220"/>
        <w:ind w:firstLine="540"/>
        <w:jc w:val="both"/>
      </w:pPr>
      <w:r>
        <w:t>92. Задачи создания ПРК:</w:t>
      </w:r>
    </w:p>
    <w:p w:rsidR="007D4BA9" w:rsidRDefault="007D4BA9">
      <w:pPr>
        <w:pStyle w:val="ConsPlusNormal"/>
        <w:spacing w:before="220"/>
        <w:ind w:firstLine="540"/>
        <w:jc w:val="both"/>
      </w:pPr>
      <w:r>
        <w:t xml:space="preserve">1) улучшение экологической ситуации в городе </w:t>
      </w:r>
      <w:r w:rsidR="000B30E9">
        <w:t>Нижнекамск</w:t>
      </w:r>
      <w:r>
        <w:t>;</w:t>
      </w:r>
    </w:p>
    <w:p w:rsidR="007D4BA9" w:rsidRDefault="007D4BA9">
      <w:pPr>
        <w:pStyle w:val="ConsPlusNormal"/>
        <w:spacing w:before="220"/>
        <w:ind w:firstLine="540"/>
        <w:jc w:val="both"/>
      </w:pPr>
      <w:r>
        <w:t>2) удовлетворение потребностей населения в отдыхе и в иных конструктивных видах досуговой деятельности в природной среде;</w:t>
      </w:r>
    </w:p>
    <w:p w:rsidR="007D4BA9" w:rsidRDefault="007D4BA9">
      <w:pPr>
        <w:pStyle w:val="ConsPlusNormal"/>
        <w:spacing w:before="220"/>
        <w:ind w:firstLine="540"/>
        <w:jc w:val="both"/>
      </w:pPr>
      <w:r>
        <w:t>3) обеспечение пешеходной доступности рекреационных территорий и пешеходной проницаемости городского пространства, разнообразия и многофункциональности городской среды;</w:t>
      </w:r>
    </w:p>
    <w:p w:rsidR="007D4BA9" w:rsidRDefault="007D4BA9">
      <w:pPr>
        <w:pStyle w:val="ConsPlusNormal"/>
        <w:spacing w:before="220"/>
        <w:ind w:firstLine="540"/>
        <w:jc w:val="both"/>
      </w:pPr>
      <w:r>
        <w:t>4) создание условий для сохранения и устойчивого использования природных и озелененных территорий;</w:t>
      </w:r>
    </w:p>
    <w:p w:rsidR="007D4BA9" w:rsidRDefault="007D4BA9">
      <w:pPr>
        <w:pStyle w:val="ConsPlusNormal"/>
        <w:spacing w:before="220"/>
        <w:ind w:firstLine="540"/>
        <w:jc w:val="both"/>
      </w:pPr>
      <w:r>
        <w:t>5) создание территориальных взаимосвязей между отдельными элементами ПРК.</w:t>
      </w:r>
    </w:p>
    <w:p w:rsidR="007D4BA9" w:rsidRDefault="007D4BA9">
      <w:pPr>
        <w:pStyle w:val="ConsPlusNormal"/>
        <w:spacing w:before="220"/>
        <w:ind w:firstLine="540"/>
        <w:jc w:val="both"/>
      </w:pPr>
      <w:r>
        <w:t>93. Требования к площади и соотношению элементов планировочной структуры озелененных территорий общего пользования приведены в таблице 6.</w:t>
      </w:r>
    </w:p>
    <w:p w:rsidR="007D4BA9" w:rsidRDefault="007D4BA9">
      <w:pPr>
        <w:pStyle w:val="ConsPlusNormal"/>
        <w:jc w:val="both"/>
      </w:pPr>
    </w:p>
    <w:p w:rsidR="007D4BA9" w:rsidRDefault="007D4BA9">
      <w:pPr>
        <w:pStyle w:val="ConsPlusNormal"/>
        <w:jc w:val="right"/>
        <w:outlineLvl w:val="3"/>
      </w:pPr>
      <w:r>
        <w:t>Таблица 6</w:t>
      </w:r>
    </w:p>
    <w:p w:rsidR="007D4BA9" w:rsidRDefault="007D4BA9">
      <w:pPr>
        <w:pStyle w:val="ConsPlusNormal"/>
        <w:jc w:val="both"/>
      </w:pPr>
    </w:p>
    <w:p w:rsidR="007D4BA9" w:rsidRDefault="007D4BA9">
      <w:pPr>
        <w:pStyle w:val="ConsPlusTitle"/>
        <w:jc w:val="center"/>
      </w:pPr>
      <w:r>
        <w:t>Площадь и соотношение элементов планировочной структуры</w:t>
      </w:r>
    </w:p>
    <w:p w:rsidR="007D4BA9" w:rsidRDefault="007D4BA9">
      <w:pPr>
        <w:pStyle w:val="ConsPlusTitle"/>
        <w:jc w:val="center"/>
      </w:pPr>
      <w:r>
        <w:t>озелененных территорий общего пользования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478"/>
        <w:gridCol w:w="1474"/>
        <w:gridCol w:w="1304"/>
        <w:gridCol w:w="1361"/>
      </w:tblGrid>
      <w:tr w:rsidR="007D4BA9">
        <w:tc>
          <w:tcPr>
            <w:tcW w:w="3402" w:type="dxa"/>
            <w:vMerge w:val="restart"/>
            <w:tcBorders>
              <w:top w:val="single" w:sz="4" w:space="0" w:color="auto"/>
              <w:bottom w:val="single" w:sz="4" w:space="0" w:color="auto"/>
            </w:tcBorders>
          </w:tcPr>
          <w:p w:rsidR="007D4BA9" w:rsidRDefault="007D4BA9">
            <w:pPr>
              <w:pStyle w:val="ConsPlusNormal"/>
              <w:jc w:val="center"/>
            </w:pPr>
            <w:r>
              <w:t>Категории озелененных территорий общего пользования</w:t>
            </w:r>
          </w:p>
        </w:tc>
        <w:tc>
          <w:tcPr>
            <w:tcW w:w="1478" w:type="dxa"/>
            <w:vMerge w:val="restart"/>
            <w:tcBorders>
              <w:top w:val="single" w:sz="4" w:space="0" w:color="auto"/>
              <w:bottom w:val="single" w:sz="4" w:space="0" w:color="auto"/>
            </w:tcBorders>
          </w:tcPr>
          <w:p w:rsidR="007D4BA9" w:rsidRDefault="007D4BA9">
            <w:pPr>
              <w:pStyle w:val="ConsPlusNormal"/>
              <w:jc w:val="center"/>
            </w:pPr>
            <w:r>
              <w:t>Минимальна я площадь, га</w:t>
            </w:r>
          </w:p>
        </w:tc>
        <w:tc>
          <w:tcPr>
            <w:tcW w:w="4139" w:type="dxa"/>
            <w:gridSpan w:val="3"/>
            <w:tcBorders>
              <w:top w:val="single" w:sz="4" w:space="0" w:color="auto"/>
              <w:bottom w:val="single" w:sz="4" w:space="0" w:color="auto"/>
            </w:tcBorders>
          </w:tcPr>
          <w:p w:rsidR="007D4BA9" w:rsidRDefault="007D4BA9">
            <w:pPr>
              <w:pStyle w:val="ConsPlusNormal"/>
              <w:jc w:val="center"/>
            </w:pPr>
            <w:r>
              <w:t xml:space="preserve">Размеры элементов планировочной структуры, процент от общей площади </w:t>
            </w:r>
            <w:hyperlink w:anchor="P653">
              <w:r>
                <w:rPr>
                  <w:color w:val="0000FF"/>
                </w:rPr>
                <w:t>&lt;*&gt;</w:t>
              </w:r>
            </w:hyperlink>
          </w:p>
        </w:tc>
      </w:tr>
      <w:tr w:rsidR="007D4BA9">
        <w:tc>
          <w:tcPr>
            <w:tcW w:w="3402" w:type="dxa"/>
            <w:vMerge/>
            <w:tcBorders>
              <w:top w:val="single" w:sz="4" w:space="0" w:color="auto"/>
              <w:bottom w:val="single" w:sz="4" w:space="0" w:color="auto"/>
            </w:tcBorders>
          </w:tcPr>
          <w:p w:rsidR="007D4BA9" w:rsidRDefault="007D4BA9">
            <w:pPr>
              <w:pStyle w:val="ConsPlusNormal"/>
            </w:pPr>
          </w:p>
        </w:tc>
        <w:tc>
          <w:tcPr>
            <w:tcW w:w="1478" w:type="dxa"/>
            <w:vMerge/>
            <w:tcBorders>
              <w:top w:val="single" w:sz="4" w:space="0" w:color="auto"/>
              <w:bottom w:val="single" w:sz="4" w:space="0" w:color="auto"/>
            </w:tcBorders>
          </w:tcPr>
          <w:p w:rsidR="007D4BA9" w:rsidRDefault="007D4BA9">
            <w:pPr>
              <w:pStyle w:val="ConsPlusNormal"/>
            </w:pPr>
          </w:p>
        </w:tc>
        <w:tc>
          <w:tcPr>
            <w:tcW w:w="1474" w:type="dxa"/>
            <w:tcBorders>
              <w:top w:val="single" w:sz="4" w:space="0" w:color="auto"/>
              <w:bottom w:val="single" w:sz="4" w:space="0" w:color="auto"/>
            </w:tcBorders>
          </w:tcPr>
          <w:p w:rsidR="007D4BA9" w:rsidRDefault="007D4BA9">
            <w:pPr>
              <w:pStyle w:val="ConsPlusNormal"/>
              <w:jc w:val="center"/>
            </w:pPr>
            <w:r>
              <w:t>участки зеленых насаждений и водоемов</w:t>
            </w:r>
          </w:p>
        </w:tc>
        <w:tc>
          <w:tcPr>
            <w:tcW w:w="1304" w:type="dxa"/>
            <w:tcBorders>
              <w:top w:val="single" w:sz="4" w:space="0" w:color="auto"/>
              <w:bottom w:val="single" w:sz="4" w:space="0" w:color="auto"/>
            </w:tcBorders>
          </w:tcPr>
          <w:p w:rsidR="007D4BA9" w:rsidRDefault="007D4BA9">
            <w:pPr>
              <w:pStyle w:val="ConsPlusNormal"/>
              <w:jc w:val="center"/>
            </w:pPr>
            <w:r>
              <w:t>аллеи, дорожки, площадки</w:t>
            </w:r>
          </w:p>
        </w:tc>
        <w:tc>
          <w:tcPr>
            <w:tcW w:w="1361" w:type="dxa"/>
            <w:tcBorders>
              <w:top w:val="single" w:sz="4" w:space="0" w:color="auto"/>
              <w:bottom w:val="single" w:sz="4" w:space="0" w:color="auto"/>
            </w:tcBorders>
          </w:tcPr>
          <w:p w:rsidR="007D4BA9" w:rsidRDefault="007D4BA9">
            <w:pPr>
              <w:pStyle w:val="ConsPlusNormal"/>
              <w:jc w:val="center"/>
            </w:pPr>
            <w:r>
              <w:t>здания и сооружения</w:t>
            </w:r>
          </w:p>
        </w:tc>
      </w:tr>
      <w:tr w:rsidR="007D4BA9">
        <w:tblPrEx>
          <w:tblBorders>
            <w:insideH w:val="none" w:sz="0" w:space="0" w:color="auto"/>
          </w:tblBorders>
        </w:tblPrEx>
        <w:tc>
          <w:tcPr>
            <w:tcW w:w="3402" w:type="dxa"/>
            <w:tcBorders>
              <w:top w:val="single" w:sz="4" w:space="0" w:color="auto"/>
              <w:bottom w:val="nil"/>
            </w:tcBorders>
          </w:tcPr>
          <w:p w:rsidR="007D4BA9" w:rsidRDefault="007D4BA9">
            <w:pPr>
              <w:pStyle w:val="ConsPlusNormal"/>
            </w:pPr>
            <w:r>
              <w:lastRenderedPageBreak/>
              <w:t>Общегородского значения:</w:t>
            </w:r>
          </w:p>
        </w:tc>
        <w:tc>
          <w:tcPr>
            <w:tcW w:w="1478" w:type="dxa"/>
            <w:tcBorders>
              <w:top w:val="single" w:sz="4" w:space="0" w:color="auto"/>
              <w:bottom w:val="nil"/>
            </w:tcBorders>
          </w:tcPr>
          <w:p w:rsidR="007D4BA9" w:rsidRDefault="007D4BA9">
            <w:pPr>
              <w:pStyle w:val="ConsPlusNormal"/>
            </w:pPr>
          </w:p>
        </w:tc>
        <w:tc>
          <w:tcPr>
            <w:tcW w:w="1474" w:type="dxa"/>
            <w:tcBorders>
              <w:top w:val="single" w:sz="4" w:space="0" w:color="auto"/>
              <w:bottom w:val="nil"/>
            </w:tcBorders>
          </w:tcPr>
          <w:p w:rsidR="007D4BA9" w:rsidRDefault="007D4BA9">
            <w:pPr>
              <w:pStyle w:val="ConsPlusNormal"/>
            </w:pPr>
          </w:p>
        </w:tc>
        <w:tc>
          <w:tcPr>
            <w:tcW w:w="1304" w:type="dxa"/>
            <w:tcBorders>
              <w:top w:val="single" w:sz="4" w:space="0" w:color="auto"/>
              <w:bottom w:val="nil"/>
            </w:tcBorders>
          </w:tcPr>
          <w:p w:rsidR="007D4BA9" w:rsidRDefault="007D4BA9">
            <w:pPr>
              <w:pStyle w:val="ConsPlusNormal"/>
            </w:pPr>
          </w:p>
        </w:tc>
        <w:tc>
          <w:tcPr>
            <w:tcW w:w="1361" w:type="dxa"/>
            <w:tcBorders>
              <w:top w:val="single" w:sz="4" w:space="0" w:color="auto"/>
              <w:bottom w:val="nil"/>
            </w:tcBorders>
          </w:tcPr>
          <w:p w:rsidR="007D4BA9" w:rsidRDefault="007D4BA9">
            <w:pPr>
              <w:pStyle w:val="ConsPlusNormal"/>
            </w:pPr>
          </w:p>
        </w:tc>
      </w:tr>
      <w:tr w:rsidR="007D4BA9">
        <w:tblPrEx>
          <w:tblBorders>
            <w:insideH w:val="none" w:sz="0" w:space="0" w:color="auto"/>
          </w:tblBorders>
        </w:tblPrEx>
        <w:tc>
          <w:tcPr>
            <w:tcW w:w="3402" w:type="dxa"/>
            <w:tcBorders>
              <w:top w:val="nil"/>
              <w:bottom w:val="nil"/>
            </w:tcBorders>
          </w:tcPr>
          <w:p w:rsidR="007D4BA9" w:rsidRDefault="007D4BA9">
            <w:pPr>
              <w:pStyle w:val="ConsPlusNormal"/>
            </w:pPr>
            <w:r>
              <w:t>парк многофункциональный и</w:t>
            </w:r>
          </w:p>
          <w:p w:rsidR="007D4BA9" w:rsidRDefault="007D4BA9">
            <w:pPr>
              <w:pStyle w:val="ConsPlusNormal"/>
            </w:pPr>
            <w:r>
              <w:t>специализированный;</w:t>
            </w:r>
          </w:p>
        </w:tc>
        <w:tc>
          <w:tcPr>
            <w:tcW w:w="1478" w:type="dxa"/>
            <w:tcBorders>
              <w:top w:val="nil"/>
              <w:bottom w:val="nil"/>
            </w:tcBorders>
          </w:tcPr>
          <w:p w:rsidR="007D4BA9" w:rsidRDefault="007D4BA9">
            <w:pPr>
              <w:pStyle w:val="ConsPlusNormal"/>
              <w:jc w:val="center"/>
            </w:pPr>
            <w:r>
              <w:t>15</w:t>
            </w:r>
          </w:p>
        </w:tc>
        <w:tc>
          <w:tcPr>
            <w:tcW w:w="1474" w:type="dxa"/>
            <w:tcBorders>
              <w:top w:val="nil"/>
              <w:bottom w:val="nil"/>
            </w:tcBorders>
          </w:tcPr>
          <w:p w:rsidR="007D4BA9" w:rsidRDefault="007D4BA9">
            <w:pPr>
              <w:pStyle w:val="ConsPlusNormal"/>
              <w:jc w:val="center"/>
            </w:pPr>
            <w:r>
              <w:t>65 - 70</w:t>
            </w:r>
          </w:p>
        </w:tc>
        <w:tc>
          <w:tcPr>
            <w:tcW w:w="1304" w:type="dxa"/>
            <w:tcBorders>
              <w:top w:val="nil"/>
              <w:bottom w:val="nil"/>
            </w:tcBorders>
          </w:tcPr>
          <w:p w:rsidR="007D4BA9" w:rsidRDefault="007D4BA9">
            <w:pPr>
              <w:pStyle w:val="ConsPlusNormal"/>
              <w:jc w:val="center"/>
            </w:pPr>
            <w:r>
              <w:t>25 - 28</w:t>
            </w:r>
          </w:p>
        </w:tc>
        <w:tc>
          <w:tcPr>
            <w:tcW w:w="1361" w:type="dxa"/>
            <w:tcBorders>
              <w:top w:val="nil"/>
              <w:bottom w:val="nil"/>
            </w:tcBorders>
          </w:tcPr>
          <w:p w:rsidR="007D4BA9" w:rsidRDefault="007D4BA9">
            <w:pPr>
              <w:pStyle w:val="ConsPlusNormal"/>
              <w:jc w:val="center"/>
            </w:pPr>
            <w:r>
              <w:t>5 - 7</w:t>
            </w:r>
          </w:p>
        </w:tc>
      </w:tr>
      <w:tr w:rsidR="007D4BA9">
        <w:tblPrEx>
          <w:tblBorders>
            <w:insideH w:val="none" w:sz="0" w:space="0" w:color="auto"/>
          </w:tblBorders>
        </w:tblPrEx>
        <w:tc>
          <w:tcPr>
            <w:tcW w:w="3402" w:type="dxa"/>
            <w:tcBorders>
              <w:top w:val="nil"/>
              <w:bottom w:val="nil"/>
            </w:tcBorders>
          </w:tcPr>
          <w:p w:rsidR="007D4BA9" w:rsidRDefault="007D4BA9">
            <w:pPr>
              <w:pStyle w:val="ConsPlusNormal"/>
            </w:pPr>
            <w:r>
              <w:t>парк специализированный;</w:t>
            </w:r>
          </w:p>
        </w:tc>
        <w:tc>
          <w:tcPr>
            <w:tcW w:w="1478" w:type="dxa"/>
            <w:tcBorders>
              <w:top w:val="nil"/>
              <w:bottom w:val="nil"/>
            </w:tcBorders>
          </w:tcPr>
          <w:p w:rsidR="007D4BA9" w:rsidRDefault="007D4BA9">
            <w:pPr>
              <w:pStyle w:val="ConsPlusNormal"/>
              <w:jc w:val="center"/>
            </w:pPr>
            <w:r>
              <w:t>не нормируется</w:t>
            </w:r>
          </w:p>
        </w:tc>
        <w:tc>
          <w:tcPr>
            <w:tcW w:w="1474" w:type="dxa"/>
            <w:tcBorders>
              <w:top w:val="nil"/>
              <w:bottom w:val="nil"/>
            </w:tcBorders>
          </w:tcPr>
          <w:p w:rsidR="007D4BA9" w:rsidRDefault="007D4BA9">
            <w:pPr>
              <w:pStyle w:val="ConsPlusNormal"/>
              <w:jc w:val="center"/>
            </w:pPr>
            <w:r>
              <w:t>65 - 70</w:t>
            </w:r>
          </w:p>
        </w:tc>
        <w:tc>
          <w:tcPr>
            <w:tcW w:w="1304" w:type="dxa"/>
            <w:tcBorders>
              <w:top w:val="nil"/>
              <w:bottom w:val="nil"/>
            </w:tcBorders>
          </w:tcPr>
          <w:p w:rsidR="007D4BA9" w:rsidRDefault="007D4BA9">
            <w:pPr>
              <w:pStyle w:val="ConsPlusNormal"/>
              <w:jc w:val="center"/>
            </w:pPr>
            <w:r>
              <w:t>25 - 28</w:t>
            </w:r>
          </w:p>
        </w:tc>
        <w:tc>
          <w:tcPr>
            <w:tcW w:w="1361" w:type="dxa"/>
            <w:tcBorders>
              <w:top w:val="nil"/>
              <w:bottom w:val="nil"/>
            </w:tcBorders>
          </w:tcPr>
          <w:p w:rsidR="007D4BA9" w:rsidRDefault="007D4BA9">
            <w:pPr>
              <w:pStyle w:val="ConsPlusNormal"/>
              <w:jc w:val="center"/>
            </w:pPr>
            <w:r>
              <w:t>5 - 7</w:t>
            </w:r>
          </w:p>
        </w:tc>
      </w:tr>
      <w:tr w:rsidR="007D4BA9">
        <w:tblPrEx>
          <w:tblBorders>
            <w:insideH w:val="none" w:sz="0" w:space="0" w:color="auto"/>
          </w:tblBorders>
        </w:tblPrEx>
        <w:tc>
          <w:tcPr>
            <w:tcW w:w="3402" w:type="dxa"/>
            <w:tcBorders>
              <w:top w:val="nil"/>
              <w:bottom w:val="nil"/>
            </w:tcBorders>
          </w:tcPr>
          <w:p w:rsidR="007D4BA9" w:rsidRDefault="007D4BA9">
            <w:pPr>
              <w:pStyle w:val="ConsPlusNormal"/>
            </w:pPr>
            <w:r>
              <w:t>сад общегородского значения;</w:t>
            </w:r>
          </w:p>
        </w:tc>
        <w:tc>
          <w:tcPr>
            <w:tcW w:w="1478" w:type="dxa"/>
            <w:tcBorders>
              <w:top w:val="nil"/>
              <w:bottom w:val="nil"/>
            </w:tcBorders>
          </w:tcPr>
          <w:p w:rsidR="007D4BA9" w:rsidRDefault="007D4BA9">
            <w:pPr>
              <w:pStyle w:val="ConsPlusNormal"/>
              <w:jc w:val="center"/>
            </w:pPr>
            <w:r>
              <w:t>5</w:t>
            </w:r>
          </w:p>
        </w:tc>
        <w:tc>
          <w:tcPr>
            <w:tcW w:w="1474" w:type="dxa"/>
            <w:tcBorders>
              <w:top w:val="nil"/>
              <w:bottom w:val="nil"/>
            </w:tcBorders>
          </w:tcPr>
          <w:p w:rsidR="007D4BA9" w:rsidRDefault="007D4BA9">
            <w:pPr>
              <w:pStyle w:val="ConsPlusNormal"/>
              <w:jc w:val="center"/>
            </w:pPr>
            <w:r>
              <w:t>80 - 90</w:t>
            </w:r>
          </w:p>
        </w:tc>
        <w:tc>
          <w:tcPr>
            <w:tcW w:w="1304" w:type="dxa"/>
            <w:tcBorders>
              <w:top w:val="nil"/>
              <w:bottom w:val="nil"/>
            </w:tcBorders>
          </w:tcPr>
          <w:p w:rsidR="007D4BA9" w:rsidRDefault="007D4BA9">
            <w:pPr>
              <w:pStyle w:val="ConsPlusNormal"/>
              <w:jc w:val="center"/>
            </w:pPr>
            <w:r>
              <w:t>8 - 15</w:t>
            </w:r>
          </w:p>
        </w:tc>
        <w:tc>
          <w:tcPr>
            <w:tcW w:w="1361" w:type="dxa"/>
            <w:tcBorders>
              <w:top w:val="nil"/>
              <w:bottom w:val="nil"/>
            </w:tcBorders>
          </w:tcPr>
          <w:p w:rsidR="007D4BA9" w:rsidRDefault="007D4BA9">
            <w:pPr>
              <w:pStyle w:val="ConsPlusNormal"/>
              <w:jc w:val="center"/>
            </w:pPr>
            <w:r>
              <w:t>2 - 5</w:t>
            </w:r>
          </w:p>
        </w:tc>
      </w:tr>
      <w:tr w:rsidR="007D4BA9">
        <w:tblPrEx>
          <w:tblBorders>
            <w:insideH w:val="none" w:sz="0" w:space="0" w:color="auto"/>
          </w:tblBorders>
        </w:tblPrEx>
        <w:tc>
          <w:tcPr>
            <w:tcW w:w="3402" w:type="dxa"/>
            <w:tcBorders>
              <w:top w:val="nil"/>
              <w:bottom w:val="nil"/>
            </w:tcBorders>
          </w:tcPr>
          <w:p w:rsidR="007D4BA9" w:rsidRDefault="007D4BA9">
            <w:pPr>
              <w:pStyle w:val="ConsPlusNormal"/>
            </w:pPr>
            <w:r>
              <w:t>сквер общегородского значения;</w:t>
            </w:r>
          </w:p>
        </w:tc>
        <w:tc>
          <w:tcPr>
            <w:tcW w:w="1478" w:type="dxa"/>
            <w:tcBorders>
              <w:top w:val="nil"/>
              <w:bottom w:val="nil"/>
            </w:tcBorders>
          </w:tcPr>
          <w:p w:rsidR="007D4BA9" w:rsidRDefault="007D4BA9">
            <w:pPr>
              <w:pStyle w:val="ConsPlusNormal"/>
              <w:jc w:val="center"/>
            </w:pPr>
            <w:r>
              <w:t>0,5</w:t>
            </w:r>
          </w:p>
        </w:tc>
        <w:tc>
          <w:tcPr>
            <w:tcW w:w="1474" w:type="dxa"/>
            <w:tcBorders>
              <w:top w:val="nil"/>
              <w:bottom w:val="nil"/>
            </w:tcBorders>
          </w:tcPr>
          <w:p w:rsidR="007D4BA9" w:rsidRDefault="007D4BA9">
            <w:pPr>
              <w:pStyle w:val="ConsPlusNormal"/>
              <w:jc w:val="center"/>
            </w:pPr>
            <w:r>
              <w:t>60 - 75</w:t>
            </w:r>
          </w:p>
        </w:tc>
        <w:tc>
          <w:tcPr>
            <w:tcW w:w="1304" w:type="dxa"/>
            <w:tcBorders>
              <w:top w:val="nil"/>
              <w:bottom w:val="nil"/>
            </w:tcBorders>
          </w:tcPr>
          <w:p w:rsidR="007D4BA9" w:rsidRDefault="007D4BA9">
            <w:pPr>
              <w:pStyle w:val="ConsPlusNormal"/>
              <w:jc w:val="center"/>
            </w:pPr>
            <w:r>
              <w:t>25 - 40</w:t>
            </w:r>
          </w:p>
        </w:tc>
        <w:tc>
          <w:tcPr>
            <w:tcW w:w="1361" w:type="dxa"/>
            <w:tcBorders>
              <w:top w:val="nil"/>
              <w:bottom w:val="nil"/>
            </w:tcBorders>
          </w:tcPr>
          <w:p w:rsidR="007D4BA9" w:rsidRDefault="007D4BA9">
            <w:pPr>
              <w:pStyle w:val="ConsPlusNormal"/>
              <w:jc w:val="center"/>
            </w:pPr>
            <w:r>
              <w:t>-</w:t>
            </w:r>
          </w:p>
        </w:tc>
      </w:tr>
      <w:tr w:rsidR="007D4BA9">
        <w:tblPrEx>
          <w:tblBorders>
            <w:insideH w:val="none" w:sz="0" w:space="0" w:color="auto"/>
          </w:tblBorders>
        </w:tblPrEx>
        <w:tc>
          <w:tcPr>
            <w:tcW w:w="3402" w:type="dxa"/>
            <w:tcBorders>
              <w:top w:val="nil"/>
              <w:bottom w:val="single" w:sz="4" w:space="0" w:color="auto"/>
            </w:tcBorders>
          </w:tcPr>
          <w:p w:rsidR="007D4BA9" w:rsidRDefault="007D4BA9">
            <w:pPr>
              <w:pStyle w:val="ConsPlusNormal"/>
            </w:pPr>
            <w:r>
              <w:t>бульвар общегородского значения</w:t>
            </w:r>
          </w:p>
        </w:tc>
        <w:tc>
          <w:tcPr>
            <w:tcW w:w="1478" w:type="dxa"/>
            <w:tcBorders>
              <w:top w:val="nil"/>
              <w:bottom w:val="single" w:sz="4" w:space="0" w:color="auto"/>
            </w:tcBorders>
          </w:tcPr>
          <w:p w:rsidR="007D4BA9" w:rsidRDefault="007D4BA9">
            <w:pPr>
              <w:pStyle w:val="ConsPlusNormal"/>
              <w:jc w:val="center"/>
            </w:pPr>
            <w:r>
              <w:t>не нормируется</w:t>
            </w:r>
          </w:p>
        </w:tc>
        <w:tc>
          <w:tcPr>
            <w:tcW w:w="1474" w:type="dxa"/>
            <w:tcBorders>
              <w:top w:val="nil"/>
              <w:bottom w:val="single" w:sz="4" w:space="0" w:color="auto"/>
            </w:tcBorders>
          </w:tcPr>
          <w:p w:rsidR="007D4BA9" w:rsidRDefault="007D4BA9">
            <w:pPr>
              <w:pStyle w:val="ConsPlusNormal"/>
              <w:jc w:val="center"/>
            </w:pPr>
            <w:r>
              <w:t>70 - 75</w:t>
            </w:r>
          </w:p>
        </w:tc>
        <w:tc>
          <w:tcPr>
            <w:tcW w:w="1304" w:type="dxa"/>
            <w:tcBorders>
              <w:top w:val="nil"/>
              <w:bottom w:val="single" w:sz="4" w:space="0" w:color="auto"/>
            </w:tcBorders>
          </w:tcPr>
          <w:p w:rsidR="007D4BA9" w:rsidRDefault="007D4BA9">
            <w:pPr>
              <w:pStyle w:val="ConsPlusNormal"/>
              <w:jc w:val="center"/>
            </w:pPr>
            <w:r>
              <w:t>25 - 30</w:t>
            </w:r>
          </w:p>
        </w:tc>
        <w:tc>
          <w:tcPr>
            <w:tcW w:w="1361" w:type="dxa"/>
            <w:tcBorders>
              <w:top w:val="nil"/>
              <w:bottom w:val="single" w:sz="4" w:space="0" w:color="auto"/>
            </w:tcBorders>
          </w:tcPr>
          <w:p w:rsidR="007D4BA9" w:rsidRDefault="007D4BA9">
            <w:pPr>
              <w:pStyle w:val="ConsPlusNormal"/>
              <w:jc w:val="center"/>
            </w:pPr>
            <w:r>
              <w:t>-</w:t>
            </w:r>
          </w:p>
        </w:tc>
      </w:tr>
      <w:tr w:rsidR="007D4BA9">
        <w:tblPrEx>
          <w:tblBorders>
            <w:insideH w:val="none" w:sz="0" w:space="0" w:color="auto"/>
          </w:tblBorders>
        </w:tblPrEx>
        <w:tc>
          <w:tcPr>
            <w:tcW w:w="3402" w:type="dxa"/>
            <w:tcBorders>
              <w:top w:val="single" w:sz="4" w:space="0" w:color="auto"/>
              <w:bottom w:val="nil"/>
            </w:tcBorders>
          </w:tcPr>
          <w:p w:rsidR="007D4BA9" w:rsidRDefault="007D4BA9">
            <w:pPr>
              <w:pStyle w:val="ConsPlusNormal"/>
            </w:pPr>
            <w:r>
              <w:t>В границах жилого района:</w:t>
            </w:r>
          </w:p>
        </w:tc>
        <w:tc>
          <w:tcPr>
            <w:tcW w:w="1478" w:type="dxa"/>
            <w:tcBorders>
              <w:top w:val="single" w:sz="4" w:space="0" w:color="auto"/>
              <w:bottom w:val="nil"/>
            </w:tcBorders>
          </w:tcPr>
          <w:p w:rsidR="007D4BA9" w:rsidRDefault="007D4BA9">
            <w:pPr>
              <w:pStyle w:val="ConsPlusNormal"/>
            </w:pPr>
          </w:p>
        </w:tc>
        <w:tc>
          <w:tcPr>
            <w:tcW w:w="1474" w:type="dxa"/>
            <w:tcBorders>
              <w:top w:val="single" w:sz="4" w:space="0" w:color="auto"/>
              <w:bottom w:val="nil"/>
            </w:tcBorders>
          </w:tcPr>
          <w:p w:rsidR="007D4BA9" w:rsidRDefault="007D4BA9">
            <w:pPr>
              <w:pStyle w:val="ConsPlusNormal"/>
            </w:pPr>
          </w:p>
        </w:tc>
        <w:tc>
          <w:tcPr>
            <w:tcW w:w="1304" w:type="dxa"/>
            <w:tcBorders>
              <w:top w:val="single" w:sz="4" w:space="0" w:color="auto"/>
              <w:bottom w:val="nil"/>
            </w:tcBorders>
          </w:tcPr>
          <w:p w:rsidR="007D4BA9" w:rsidRDefault="007D4BA9">
            <w:pPr>
              <w:pStyle w:val="ConsPlusNormal"/>
            </w:pPr>
          </w:p>
        </w:tc>
        <w:tc>
          <w:tcPr>
            <w:tcW w:w="1361" w:type="dxa"/>
            <w:tcBorders>
              <w:top w:val="single" w:sz="4" w:space="0" w:color="auto"/>
              <w:bottom w:val="nil"/>
            </w:tcBorders>
          </w:tcPr>
          <w:p w:rsidR="007D4BA9" w:rsidRDefault="007D4BA9">
            <w:pPr>
              <w:pStyle w:val="ConsPlusNormal"/>
            </w:pPr>
          </w:p>
        </w:tc>
      </w:tr>
      <w:tr w:rsidR="007D4BA9">
        <w:tblPrEx>
          <w:tblBorders>
            <w:insideH w:val="none" w:sz="0" w:space="0" w:color="auto"/>
          </w:tblBorders>
        </w:tblPrEx>
        <w:tc>
          <w:tcPr>
            <w:tcW w:w="3402" w:type="dxa"/>
            <w:tcBorders>
              <w:top w:val="nil"/>
              <w:bottom w:val="nil"/>
            </w:tcBorders>
          </w:tcPr>
          <w:p w:rsidR="007D4BA9" w:rsidRDefault="007D4BA9">
            <w:pPr>
              <w:pStyle w:val="ConsPlusNormal"/>
            </w:pPr>
            <w:r>
              <w:t>парк жилого района;</w:t>
            </w:r>
          </w:p>
        </w:tc>
        <w:tc>
          <w:tcPr>
            <w:tcW w:w="1478" w:type="dxa"/>
            <w:tcBorders>
              <w:top w:val="nil"/>
              <w:bottom w:val="nil"/>
            </w:tcBorders>
          </w:tcPr>
          <w:p w:rsidR="007D4BA9" w:rsidRDefault="007D4BA9">
            <w:pPr>
              <w:pStyle w:val="ConsPlusNormal"/>
              <w:jc w:val="center"/>
            </w:pPr>
            <w:r>
              <w:t>10</w:t>
            </w:r>
          </w:p>
        </w:tc>
        <w:tc>
          <w:tcPr>
            <w:tcW w:w="1474" w:type="dxa"/>
            <w:tcBorders>
              <w:top w:val="nil"/>
              <w:bottom w:val="nil"/>
            </w:tcBorders>
          </w:tcPr>
          <w:p w:rsidR="007D4BA9" w:rsidRDefault="007D4BA9">
            <w:pPr>
              <w:pStyle w:val="ConsPlusNormal"/>
              <w:jc w:val="center"/>
            </w:pPr>
            <w:r>
              <w:t>70</w:t>
            </w:r>
          </w:p>
        </w:tc>
        <w:tc>
          <w:tcPr>
            <w:tcW w:w="1304" w:type="dxa"/>
            <w:tcBorders>
              <w:top w:val="nil"/>
              <w:bottom w:val="nil"/>
            </w:tcBorders>
          </w:tcPr>
          <w:p w:rsidR="007D4BA9" w:rsidRDefault="007D4BA9">
            <w:pPr>
              <w:pStyle w:val="ConsPlusNormal"/>
              <w:jc w:val="center"/>
            </w:pPr>
            <w:r>
              <w:t>23 - 25</w:t>
            </w:r>
          </w:p>
        </w:tc>
        <w:tc>
          <w:tcPr>
            <w:tcW w:w="1361" w:type="dxa"/>
            <w:tcBorders>
              <w:top w:val="nil"/>
              <w:bottom w:val="nil"/>
            </w:tcBorders>
          </w:tcPr>
          <w:p w:rsidR="007D4BA9" w:rsidRDefault="007D4BA9">
            <w:pPr>
              <w:pStyle w:val="ConsPlusNormal"/>
              <w:jc w:val="center"/>
            </w:pPr>
            <w:r>
              <w:t>5 - 7</w:t>
            </w:r>
          </w:p>
        </w:tc>
      </w:tr>
      <w:tr w:rsidR="007D4BA9">
        <w:tblPrEx>
          <w:tblBorders>
            <w:insideH w:val="none" w:sz="0" w:space="0" w:color="auto"/>
          </w:tblBorders>
        </w:tblPrEx>
        <w:tc>
          <w:tcPr>
            <w:tcW w:w="3402" w:type="dxa"/>
            <w:tcBorders>
              <w:top w:val="nil"/>
              <w:bottom w:val="single" w:sz="4" w:space="0" w:color="auto"/>
            </w:tcBorders>
          </w:tcPr>
          <w:p w:rsidR="007D4BA9" w:rsidRDefault="007D4BA9">
            <w:pPr>
              <w:pStyle w:val="ConsPlusNormal"/>
            </w:pPr>
            <w:r>
              <w:t>сад жилого района</w:t>
            </w:r>
          </w:p>
        </w:tc>
        <w:tc>
          <w:tcPr>
            <w:tcW w:w="1478" w:type="dxa"/>
            <w:tcBorders>
              <w:top w:val="nil"/>
              <w:bottom w:val="single" w:sz="4" w:space="0" w:color="auto"/>
            </w:tcBorders>
          </w:tcPr>
          <w:p w:rsidR="007D4BA9" w:rsidRDefault="007D4BA9">
            <w:pPr>
              <w:pStyle w:val="ConsPlusNormal"/>
              <w:jc w:val="center"/>
            </w:pPr>
            <w:r>
              <w:t>3</w:t>
            </w:r>
          </w:p>
        </w:tc>
        <w:tc>
          <w:tcPr>
            <w:tcW w:w="1474" w:type="dxa"/>
            <w:tcBorders>
              <w:top w:val="nil"/>
              <w:bottom w:val="single" w:sz="4" w:space="0" w:color="auto"/>
            </w:tcBorders>
          </w:tcPr>
          <w:p w:rsidR="007D4BA9" w:rsidRDefault="007D4BA9">
            <w:pPr>
              <w:pStyle w:val="ConsPlusNormal"/>
              <w:jc w:val="center"/>
            </w:pPr>
            <w:r>
              <w:t>80 - 90</w:t>
            </w:r>
          </w:p>
        </w:tc>
        <w:tc>
          <w:tcPr>
            <w:tcW w:w="1304" w:type="dxa"/>
            <w:tcBorders>
              <w:top w:val="nil"/>
              <w:bottom w:val="single" w:sz="4" w:space="0" w:color="auto"/>
            </w:tcBorders>
          </w:tcPr>
          <w:p w:rsidR="007D4BA9" w:rsidRDefault="007D4BA9">
            <w:pPr>
              <w:pStyle w:val="ConsPlusNormal"/>
              <w:jc w:val="center"/>
            </w:pPr>
            <w:r>
              <w:t>8 - 15</w:t>
            </w:r>
          </w:p>
        </w:tc>
        <w:tc>
          <w:tcPr>
            <w:tcW w:w="1361" w:type="dxa"/>
            <w:tcBorders>
              <w:top w:val="nil"/>
              <w:bottom w:val="single" w:sz="4" w:space="0" w:color="auto"/>
            </w:tcBorders>
          </w:tcPr>
          <w:p w:rsidR="007D4BA9" w:rsidRDefault="007D4BA9">
            <w:pPr>
              <w:pStyle w:val="ConsPlusNormal"/>
              <w:jc w:val="center"/>
            </w:pPr>
            <w:r>
              <w:t>2 - 5</w:t>
            </w:r>
          </w:p>
        </w:tc>
      </w:tr>
      <w:tr w:rsidR="007D4BA9">
        <w:tblPrEx>
          <w:tblBorders>
            <w:insideH w:val="none" w:sz="0" w:space="0" w:color="auto"/>
          </w:tblBorders>
        </w:tblPrEx>
        <w:tc>
          <w:tcPr>
            <w:tcW w:w="3402" w:type="dxa"/>
            <w:tcBorders>
              <w:top w:val="single" w:sz="4" w:space="0" w:color="auto"/>
              <w:bottom w:val="nil"/>
            </w:tcBorders>
          </w:tcPr>
          <w:p w:rsidR="007D4BA9" w:rsidRDefault="007D4BA9">
            <w:pPr>
              <w:pStyle w:val="ConsPlusNormal"/>
            </w:pPr>
            <w:r>
              <w:t>В границах жилого микрорайона:</w:t>
            </w:r>
          </w:p>
        </w:tc>
        <w:tc>
          <w:tcPr>
            <w:tcW w:w="1478" w:type="dxa"/>
            <w:tcBorders>
              <w:top w:val="single" w:sz="4" w:space="0" w:color="auto"/>
              <w:bottom w:val="nil"/>
            </w:tcBorders>
          </w:tcPr>
          <w:p w:rsidR="007D4BA9" w:rsidRDefault="007D4BA9">
            <w:pPr>
              <w:pStyle w:val="ConsPlusNormal"/>
            </w:pPr>
          </w:p>
        </w:tc>
        <w:tc>
          <w:tcPr>
            <w:tcW w:w="1474" w:type="dxa"/>
            <w:tcBorders>
              <w:top w:val="single" w:sz="4" w:space="0" w:color="auto"/>
              <w:bottom w:val="nil"/>
            </w:tcBorders>
          </w:tcPr>
          <w:p w:rsidR="007D4BA9" w:rsidRDefault="007D4BA9">
            <w:pPr>
              <w:pStyle w:val="ConsPlusNormal"/>
            </w:pPr>
          </w:p>
        </w:tc>
        <w:tc>
          <w:tcPr>
            <w:tcW w:w="1304" w:type="dxa"/>
            <w:tcBorders>
              <w:top w:val="single" w:sz="4" w:space="0" w:color="auto"/>
              <w:bottom w:val="nil"/>
            </w:tcBorders>
          </w:tcPr>
          <w:p w:rsidR="007D4BA9" w:rsidRDefault="007D4BA9">
            <w:pPr>
              <w:pStyle w:val="ConsPlusNormal"/>
            </w:pPr>
          </w:p>
        </w:tc>
        <w:tc>
          <w:tcPr>
            <w:tcW w:w="1361" w:type="dxa"/>
            <w:tcBorders>
              <w:top w:val="single" w:sz="4" w:space="0" w:color="auto"/>
              <w:bottom w:val="nil"/>
            </w:tcBorders>
          </w:tcPr>
          <w:p w:rsidR="007D4BA9" w:rsidRDefault="007D4BA9">
            <w:pPr>
              <w:pStyle w:val="ConsPlusNormal"/>
            </w:pPr>
          </w:p>
        </w:tc>
      </w:tr>
      <w:tr w:rsidR="007D4BA9">
        <w:tblPrEx>
          <w:tblBorders>
            <w:insideH w:val="none" w:sz="0" w:space="0" w:color="auto"/>
          </w:tblBorders>
        </w:tblPrEx>
        <w:tc>
          <w:tcPr>
            <w:tcW w:w="3402" w:type="dxa"/>
            <w:tcBorders>
              <w:top w:val="nil"/>
              <w:bottom w:val="single" w:sz="4" w:space="0" w:color="auto"/>
            </w:tcBorders>
          </w:tcPr>
          <w:p w:rsidR="007D4BA9" w:rsidRDefault="007D4BA9">
            <w:pPr>
              <w:pStyle w:val="ConsPlusNormal"/>
            </w:pPr>
            <w:r>
              <w:t>сад микрорайона</w:t>
            </w:r>
          </w:p>
        </w:tc>
        <w:tc>
          <w:tcPr>
            <w:tcW w:w="1478" w:type="dxa"/>
            <w:tcBorders>
              <w:top w:val="nil"/>
              <w:bottom w:val="single" w:sz="4" w:space="0" w:color="auto"/>
            </w:tcBorders>
          </w:tcPr>
          <w:p w:rsidR="007D4BA9" w:rsidRDefault="007D4BA9">
            <w:pPr>
              <w:pStyle w:val="ConsPlusNormal"/>
              <w:jc w:val="center"/>
            </w:pPr>
            <w:r>
              <w:t>3</w:t>
            </w:r>
          </w:p>
        </w:tc>
        <w:tc>
          <w:tcPr>
            <w:tcW w:w="1474" w:type="dxa"/>
            <w:tcBorders>
              <w:top w:val="nil"/>
              <w:bottom w:val="single" w:sz="4" w:space="0" w:color="auto"/>
            </w:tcBorders>
          </w:tcPr>
          <w:p w:rsidR="007D4BA9" w:rsidRDefault="007D4BA9">
            <w:pPr>
              <w:pStyle w:val="ConsPlusNormal"/>
              <w:jc w:val="center"/>
            </w:pPr>
            <w:r>
              <w:t>77 - 88</w:t>
            </w:r>
          </w:p>
        </w:tc>
        <w:tc>
          <w:tcPr>
            <w:tcW w:w="1304" w:type="dxa"/>
            <w:tcBorders>
              <w:top w:val="nil"/>
              <w:bottom w:val="single" w:sz="4" w:space="0" w:color="auto"/>
            </w:tcBorders>
          </w:tcPr>
          <w:p w:rsidR="007D4BA9" w:rsidRDefault="007D4BA9">
            <w:pPr>
              <w:pStyle w:val="ConsPlusNormal"/>
              <w:jc w:val="center"/>
            </w:pPr>
            <w:r>
              <w:t>10 - 18</w:t>
            </w:r>
          </w:p>
        </w:tc>
        <w:tc>
          <w:tcPr>
            <w:tcW w:w="1361" w:type="dxa"/>
            <w:tcBorders>
              <w:top w:val="nil"/>
              <w:bottom w:val="single" w:sz="4" w:space="0" w:color="auto"/>
            </w:tcBorders>
          </w:tcPr>
          <w:p w:rsidR="007D4BA9" w:rsidRDefault="007D4BA9">
            <w:pPr>
              <w:pStyle w:val="ConsPlusNormal"/>
              <w:jc w:val="center"/>
            </w:pPr>
            <w:r>
              <w:t>2 - 5</w:t>
            </w:r>
          </w:p>
        </w:tc>
      </w:tr>
      <w:tr w:rsidR="007D4BA9">
        <w:tblPrEx>
          <w:tblBorders>
            <w:insideH w:val="none" w:sz="0" w:space="0" w:color="auto"/>
          </w:tblBorders>
        </w:tblPrEx>
        <w:tc>
          <w:tcPr>
            <w:tcW w:w="3402" w:type="dxa"/>
            <w:tcBorders>
              <w:top w:val="single" w:sz="4" w:space="0" w:color="auto"/>
              <w:bottom w:val="nil"/>
            </w:tcBorders>
          </w:tcPr>
          <w:p w:rsidR="007D4BA9" w:rsidRDefault="007D4BA9">
            <w:pPr>
              <w:pStyle w:val="ConsPlusNormal"/>
            </w:pPr>
            <w:r>
              <w:t>В границах жилого района и жилого микрорайона:</w:t>
            </w:r>
          </w:p>
        </w:tc>
        <w:tc>
          <w:tcPr>
            <w:tcW w:w="1478" w:type="dxa"/>
            <w:tcBorders>
              <w:top w:val="single" w:sz="4" w:space="0" w:color="auto"/>
              <w:bottom w:val="nil"/>
            </w:tcBorders>
          </w:tcPr>
          <w:p w:rsidR="007D4BA9" w:rsidRDefault="007D4BA9">
            <w:pPr>
              <w:pStyle w:val="ConsPlusNormal"/>
            </w:pPr>
          </w:p>
        </w:tc>
        <w:tc>
          <w:tcPr>
            <w:tcW w:w="1474" w:type="dxa"/>
            <w:tcBorders>
              <w:top w:val="single" w:sz="4" w:space="0" w:color="auto"/>
              <w:bottom w:val="nil"/>
            </w:tcBorders>
          </w:tcPr>
          <w:p w:rsidR="007D4BA9" w:rsidRDefault="007D4BA9">
            <w:pPr>
              <w:pStyle w:val="ConsPlusNormal"/>
            </w:pPr>
          </w:p>
        </w:tc>
        <w:tc>
          <w:tcPr>
            <w:tcW w:w="1304" w:type="dxa"/>
            <w:tcBorders>
              <w:top w:val="single" w:sz="4" w:space="0" w:color="auto"/>
              <w:bottom w:val="nil"/>
            </w:tcBorders>
          </w:tcPr>
          <w:p w:rsidR="007D4BA9" w:rsidRDefault="007D4BA9">
            <w:pPr>
              <w:pStyle w:val="ConsPlusNormal"/>
            </w:pPr>
          </w:p>
        </w:tc>
        <w:tc>
          <w:tcPr>
            <w:tcW w:w="1361" w:type="dxa"/>
            <w:tcBorders>
              <w:top w:val="single" w:sz="4" w:space="0" w:color="auto"/>
              <w:bottom w:val="nil"/>
            </w:tcBorders>
          </w:tcPr>
          <w:p w:rsidR="007D4BA9" w:rsidRDefault="007D4BA9">
            <w:pPr>
              <w:pStyle w:val="ConsPlusNormal"/>
            </w:pPr>
          </w:p>
        </w:tc>
      </w:tr>
      <w:tr w:rsidR="007D4BA9">
        <w:tblPrEx>
          <w:tblBorders>
            <w:insideH w:val="none" w:sz="0" w:space="0" w:color="auto"/>
          </w:tblBorders>
        </w:tblPrEx>
        <w:tc>
          <w:tcPr>
            <w:tcW w:w="3402" w:type="dxa"/>
            <w:tcBorders>
              <w:top w:val="nil"/>
              <w:bottom w:val="nil"/>
            </w:tcBorders>
          </w:tcPr>
          <w:p w:rsidR="007D4BA9" w:rsidRDefault="007D4BA9">
            <w:pPr>
              <w:pStyle w:val="ConsPlusNormal"/>
            </w:pPr>
            <w:r>
              <w:t>сквер;</w:t>
            </w:r>
          </w:p>
        </w:tc>
        <w:tc>
          <w:tcPr>
            <w:tcW w:w="1478" w:type="dxa"/>
            <w:tcBorders>
              <w:top w:val="nil"/>
              <w:bottom w:val="nil"/>
            </w:tcBorders>
          </w:tcPr>
          <w:p w:rsidR="007D4BA9" w:rsidRDefault="007D4BA9">
            <w:pPr>
              <w:pStyle w:val="ConsPlusNormal"/>
              <w:jc w:val="center"/>
            </w:pPr>
            <w:r>
              <w:t>0,5</w:t>
            </w:r>
          </w:p>
        </w:tc>
        <w:tc>
          <w:tcPr>
            <w:tcW w:w="1474" w:type="dxa"/>
            <w:tcBorders>
              <w:top w:val="nil"/>
              <w:bottom w:val="nil"/>
            </w:tcBorders>
          </w:tcPr>
          <w:p w:rsidR="007D4BA9" w:rsidRDefault="007D4BA9">
            <w:pPr>
              <w:pStyle w:val="ConsPlusNormal"/>
              <w:jc w:val="center"/>
            </w:pPr>
            <w:r>
              <w:t>60 - 75</w:t>
            </w:r>
          </w:p>
        </w:tc>
        <w:tc>
          <w:tcPr>
            <w:tcW w:w="1304" w:type="dxa"/>
            <w:tcBorders>
              <w:top w:val="nil"/>
              <w:bottom w:val="nil"/>
            </w:tcBorders>
          </w:tcPr>
          <w:p w:rsidR="007D4BA9" w:rsidRDefault="007D4BA9">
            <w:pPr>
              <w:pStyle w:val="ConsPlusNormal"/>
              <w:jc w:val="center"/>
            </w:pPr>
            <w:r>
              <w:t>25 - 40</w:t>
            </w:r>
          </w:p>
        </w:tc>
        <w:tc>
          <w:tcPr>
            <w:tcW w:w="1361" w:type="dxa"/>
            <w:tcBorders>
              <w:top w:val="nil"/>
              <w:bottom w:val="nil"/>
            </w:tcBorders>
          </w:tcPr>
          <w:p w:rsidR="007D4BA9" w:rsidRDefault="007D4BA9">
            <w:pPr>
              <w:pStyle w:val="ConsPlusNormal"/>
              <w:jc w:val="center"/>
            </w:pPr>
            <w:r>
              <w:t>-</w:t>
            </w:r>
          </w:p>
        </w:tc>
      </w:tr>
      <w:tr w:rsidR="007D4BA9">
        <w:tblPrEx>
          <w:tblBorders>
            <w:insideH w:val="none" w:sz="0" w:space="0" w:color="auto"/>
          </w:tblBorders>
        </w:tblPrEx>
        <w:tc>
          <w:tcPr>
            <w:tcW w:w="3402" w:type="dxa"/>
            <w:tcBorders>
              <w:top w:val="nil"/>
              <w:bottom w:val="single" w:sz="4" w:space="0" w:color="auto"/>
            </w:tcBorders>
          </w:tcPr>
          <w:p w:rsidR="007D4BA9" w:rsidRDefault="007D4BA9">
            <w:pPr>
              <w:pStyle w:val="ConsPlusNormal"/>
            </w:pPr>
            <w:r>
              <w:t>бульвар</w:t>
            </w:r>
          </w:p>
        </w:tc>
        <w:tc>
          <w:tcPr>
            <w:tcW w:w="1478" w:type="dxa"/>
            <w:tcBorders>
              <w:top w:val="nil"/>
              <w:bottom w:val="single" w:sz="4" w:space="0" w:color="auto"/>
            </w:tcBorders>
          </w:tcPr>
          <w:p w:rsidR="007D4BA9" w:rsidRDefault="007D4BA9">
            <w:pPr>
              <w:pStyle w:val="ConsPlusNormal"/>
              <w:jc w:val="center"/>
            </w:pPr>
            <w:r>
              <w:t>не нормируется</w:t>
            </w:r>
          </w:p>
        </w:tc>
        <w:tc>
          <w:tcPr>
            <w:tcW w:w="1474" w:type="dxa"/>
            <w:tcBorders>
              <w:top w:val="nil"/>
              <w:bottom w:val="single" w:sz="4" w:space="0" w:color="auto"/>
            </w:tcBorders>
          </w:tcPr>
          <w:p w:rsidR="007D4BA9" w:rsidRDefault="007D4BA9">
            <w:pPr>
              <w:pStyle w:val="ConsPlusNormal"/>
              <w:jc w:val="center"/>
            </w:pPr>
            <w:r>
              <w:t>70 - 75</w:t>
            </w:r>
          </w:p>
        </w:tc>
        <w:tc>
          <w:tcPr>
            <w:tcW w:w="1304" w:type="dxa"/>
            <w:tcBorders>
              <w:top w:val="nil"/>
              <w:bottom w:val="single" w:sz="4" w:space="0" w:color="auto"/>
            </w:tcBorders>
          </w:tcPr>
          <w:p w:rsidR="007D4BA9" w:rsidRDefault="007D4BA9">
            <w:pPr>
              <w:pStyle w:val="ConsPlusNormal"/>
              <w:jc w:val="center"/>
            </w:pPr>
            <w:r>
              <w:t>25 - 30</w:t>
            </w:r>
          </w:p>
        </w:tc>
        <w:tc>
          <w:tcPr>
            <w:tcW w:w="1361" w:type="dxa"/>
            <w:tcBorders>
              <w:top w:val="nil"/>
              <w:bottom w:val="single" w:sz="4" w:space="0" w:color="auto"/>
            </w:tcBorders>
          </w:tcPr>
          <w:p w:rsidR="007D4BA9" w:rsidRDefault="007D4BA9">
            <w:pPr>
              <w:pStyle w:val="ConsPlusNormal"/>
              <w:jc w:val="center"/>
            </w:pPr>
            <w:r>
              <w:t>-</w:t>
            </w:r>
          </w:p>
        </w:tc>
      </w:tr>
      <w:tr w:rsidR="007D4BA9">
        <w:tc>
          <w:tcPr>
            <w:tcW w:w="3402" w:type="dxa"/>
            <w:tcBorders>
              <w:top w:val="single" w:sz="4" w:space="0" w:color="auto"/>
              <w:bottom w:val="single" w:sz="4" w:space="0" w:color="auto"/>
            </w:tcBorders>
          </w:tcPr>
          <w:p w:rsidR="007D4BA9" w:rsidRDefault="007D4BA9">
            <w:pPr>
              <w:pStyle w:val="ConsPlusNormal"/>
            </w:pPr>
            <w:r>
              <w:t xml:space="preserve">В границах жилого </w:t>
            </w:r>
            <w:proofErr w:type="gramStart"/>
            <w:r>
              <w:t xml:space="preserve">микрорайона </w:t>
            </w:r>
            <w:r w:rsidR="007C5BC7">
              <w:t xml:space="preserve"> </w:t>
            </w:r>
            <w:r>
              <w:t>:</w:t>
            </w:r>
            <w:proofErr w:type="gramEnd"/>
          </w:p>
          <w:p w:rsidR="007D4BA9" w:rsidRDefault="007D4BA9">
            <w:pPr>
              <w:pStyle w:val="ConsPlusNormal"/>
            </w:pPr>
            <w:r>
              <w:t>сквер местного значения</w:t>
            </w:r>
          </w:p>
        </w:tc>
        <w:tc>
          <w:tcPr>
            <w:tcW w:w="1478" w:type="dxa"/>
            <w:tcBorders>
              <w:top w:val="single" w:sz="4" w:space="0" w:color="auto"/>
              <w:bottom w:val="single" w:sz="4" w:space="0" w:color="auto"/>
            </w:tcBorders>
          </w:tcPr>
          <w:p w:rsidR="007D4BA9" w:rsidRDefault="007D4BA9">
            <w:pPr>
              <w:pStyle w:val="ConsPlusNormal"/>
              <w:jc w:val="center"/>
            </w:pPr>
            <w:r>
              <w:t>0,25</w:t>
            </w:r>
          </w:p>
        </w:tc>
        <w:tc>
          <w:tcPr>
            <w:tcW w:w="1474" w:type="dxa"/>
            <w:tcBorders>
              <w:top w:val="single" w:sz="4" w:space="0" w:color="auto"/>
              <w:bottom w:val="single" w:sz="4" w:space="0" w:color="auto"/>
            </w:tcBorders>
          </w:tcPr>
          <w:p w:rsidR="007D4BA9" w:rsidRDefault="007D4BA9">
            <w:pPr>
              <w:pStyle w:val="ConsPlusNormal"/>
              <w:jc w:val="center"/>
            </w:pPr>
            <w:r>
              <w:t>70 - 80</w:t>
            </w:r>
          </w:p>
        </w:tc>
        <w:tc>
          <w:tcPr>
            <w:tcW w:w="1304" w:type="dxa"/>
            <w:tcBorders>
              <w:top w:val="single" w:sz="4" w:space="0" w:color="auto"/>
              <w:bottom w:val="single" w:sz="4" w:space="0" w:color="auto"/>
            </w:tcBorders>
          </w:tcPr>
          <w:p w:rsidR="007D4BA9" w:rsidRDefault="007D4BA9">
            <w:pPr>
              <w:pStyle w:val="ConsPlusNormal"/>
              <w:jc w:val="center"/>
            </w:pPr>
            <w:r>
              <w:t>20 - 30</w:t>
            </w:r>
          </w:p>
        </w:tc>
        <w:tc>
          <w:tcPr>
            <w:tcW w:w="1361" w:type="dxa"/>
            <w:tcBorders>
              <w:top w:val="single" w:sz="4" w:space="0" w:color="auto"/>
              <w:bottom w:val="single" w:sz="4" w:space="0" w:color="auto"/>
            </w:tcBorders>
          </w:tcPr>
          <w:p w:rsidR="007D4BA9" w:rsidRDefault="007D4BA9">
            <w:pPr>
              <w:pStyle w:val="ConsPlusNormal"/>
              <w:jc w:val="center"/>
            </w:pPr>
            <w:r>
              <w:t>-</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7" w:name="P653"/>
      <w:bookmarkEnd w:id="7"/>
      <w:r>
        <w:t xml:space="preserve">&lt;*&gt; Расчетные показатели принимаются в соответствии с </w:t>
      </w:r>
      <w:hyperlink r:id="rId34">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 xml:space="preserve">94. Основные показатели, характеризующие обеспеченность города </w:t>
      </w:r>
      <w:r w:rsidR="000B30E9">
        <w:t>Нижнекамск</w:t>
      </w:r>
      <w:r>
        <w:t xml:space="preserve"> рекреационными территориями общего пользования и озелененными территориями, указаны в таблице 7.</w:t>
      </w:r>
    </w:p>
    <w:p w:rsidR="007D4BA9" w:rsidRDefault="007D4BA9">
      <w:pPr>
        <w:pStyle w:val="ConsPlusNormal"/>
        <w:jc w:val="both"/>
      </w:pPr>
    </w:p>
    <w:p w:rsidR="007D4BA9" w:rsidRDefault="007D4BA9">
      <w:pPr>
        <w:pStyle w:val="ConsPlusNormal"/>
        <w:jc w:val="right"/>
        <w:outlineLvl w:val="3"/>
      </w:pPr>
      <w:r>
        <w:t>Таблица 7</w:t>
      </w:r>
    </w:p>
    <w:p w:rsidR="007D4BA9" w:rsidRDefault="007D4BA9">
      <w:pPr>
        <w:pStyle w:val="ConsPlusNormal"/>
        <w:jc w:val="both"/>
      </w:pPr>
    </w:p>
    <w:p w:rsidR="007D4BA9" w:rsidRDefault="007D4BA9">
      <w:pPr>
        <w:pStyle w:val="ConsPlusTitle"/>
        <w:jc w:val="center"/>
      </w:pPr>
      <w:r>
        <w:t>Основные показатели, характеризующие обеспеченность города</w:t>
      </w:r>
    </w:p>
    <w:p w:rsidR="007D4BA9" w:rsidRDefault="007D4BA9">
      <w:pPr>
        <w:pStyle w:val="ConsPlusTitle"/>
        <w:jc w:val="center"/>
      </w:pPr>
      <w:r>
        <w:t>рекреационными территориями общего пользования</w:t>
      </w:r>
    </w:p>
    <w:p w:rsidR="007D4BA9" w:rsidRDefault="007D4BA9">
      <w:pPr>
        <w:pStyle w:val="ConsPlusTitle"/>
        <w:jc w:val="center"/>
      </w:pPr>
      <w:r>
        <w:t>и озелененными территориями</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6633"/>
        <w:gridCol w:w="1757"/>
      </w:tblGrid>
      <w:tr w:rsidR="007D4BA9">
        <w:tc>
          <w:tcPr>
            <w:tcW w:w="624" w:type="dxa"/>
          </w:tcPr>
          <w:p w:rsidR="007D4BA9" w:rsidRDefault="007D4BA9">
            <w:pPr>
              <w:pStyle w:val="ConsPlusNormal"/>
              <w:jc w:val="center"/>
            </w:pPr>
            <w:r>
              <w:t xml:space="preserve">N </w:t>
            </w:r>
            <w:r>
              <w:lastRenderedPageBreak/>
              <w:t>п/п</w:t>
            </w:r>
          </w:p>
        </w:tc>
        <w:tc>
          <w:tcPr>
            <w:tcW w:w="6633" w:type="dxa"/>
          </w:tcPr>
          <w:p w:rsidR="007D4BA9" w:rsidRDefault="007D4BA9">
            <w:pPr>
              <w:pStyle w:val="ConsPlusNormal"/>
              <w:jc w:val="center"/>
            </w:pPr>
            <w:r>
              <w:lastRenderedPageBreak/>
              <w:t>Наименование расчетного показателя, ед. изм.</w:t>
            </w:r>
          </w:p>
        </w:tc>
        <w:tc>
          <w:tcPr>
            <w:tcW w:w="1757" w:type="dxa"/>
          </w:tcPr>
          <w:p w:rsidR="007D4BA9" w:rsidRDefault="007D4BA9">
            <w:pPr>
              <w:pStyle w:val="ConsPlusNormal"/>
              <w:jc w:val="center"/>
            </w:pPr>
            <w:r>
              <w:t xml:space="preserve">Нормативное </w:t>
            </w:r>
            <w:r>
              <w:lastRenderedPageBreak/>
              <w:t xml:space="preserve">значение </w:t>
            </w:r>
            <w:hyperlink w:anchor="P683">
              <w:r>
                <w:rPr>
                  <w:color w:val="0000FF"/>
                </w:rPr>
                <w:t>&lt;*&gt;</w:t>
              </w:r>
            </w:hyperlink>
          </w:p>
        </w:tc>
      </w:tr>
      <w:tr w:rsidR="007D4BA9">
        <w:tc>
          <w:tcPr>
            <w:tcW w:w="624" w:type="dxa"/>
          </w:tcPr>
          <w:p w:rsidR="007D4BA9" w:rsidRDefault="007D4BA9">
            <w:pPr>
              <w:pStyle w:val="ConsPlusNormal"/>
              <w:jc w:val="center"/>
            </w:pPr>
            <w:r>
              <w:lastRenderedPageBreak/>
              <w:t>1</w:t>
            </w:r>
          </w:p>
        </w:tc>
        <w:tc>
          <w:tcPr>
            <w:tcW w:w="6633" w:type="dxa"/>
          </w:tcPr>
          <w:p w:rsidR="007D4BA9" w:rsidRDefault="007D4BA9">
            <w:pPr>
              <w:pStyle w:val="ConsPlusNormal"/>
              <w:jc w:val="both"/>
            </w:pPr>
            <w:r>
              <w:t xml:space="preserve">Минимальная доля площади озелененных территорий и зеленых насаждений (уровень </w:t>
            </w:r>
            <w:proofErr w:type="spellStart"/>
            <w:r>
              <w:t>озелененности</w:t>
            </w:r>
            <w:proofErr w:type="spellEnd"/>
            <w:r>
              <w:t xml:space="preserve"> города), проценты</w:t>
            </w:r>
          </w:p>
        </w:tc>
        <w:tc>
          <w:tcPr>
            <w:tcW w:w="1757" w:type="dxa"/>
          </w:tcPr>
          <w:p w:rsidR="007D4BA9" w:rsidRDefault="007D4BA9">
            <w:pPr>
              <w:pStyle w:val="ConsPlusNormal"/>
              <w:jc w:val="center"/>
            </w:pPr>
            <w:r>
              <w:t>55</w:t>
            </w:r>
          </w:p>
        </w:tc>
      </w:tr>
      <w:tr w:rsidR="007D4BA9">
        <w:tc>
          <w:tcPr>
            <w:tcW w:w="624" w:type="dxa"/>
          </w:tcPr>
          <w:p w:rsidR="007D4BA9" w:rsidRDefault="007D4BA9">
            <w:pPr>
              <w:pStyle w:val="ConsPlusNormal"/>
              <w:jc w:val="center"/>
            </w:pPr>
            <w:r>
              <w:t>2</w:t>
            </w:r>
          </w:p>
        </w:tc>
        <w:tc>
          <w:tcPr>
            <w:tcW w:w="6633" w:type="dxa"/>
          </w:tcPr>
          <w:p w:rsidR="007D4BA9" w:rsidRDefault="007D4BA9">
            <w:pPr>
              <w:pStyle w:val="ConsPlusNormal"/>
              <w:jc w:val="both"/>
            </w:pPr>
            <w:r>
              <w:t>Минимальная обеспеченность озелененными территориями общего пользования общегородского значения (городские парки, городские сады, скверы, бульвары), кв. м/чел.</w:t>
            </w:r>
          </w:p>
        </w:tc>
        <w:tc>
          <w:tcPr>
            <w:tcW w:w="1757" w:type="dxa"/>
          </w:tcPr>
          <w:p w:rsidR="007D4BA9" w:rsidRDefault="007D4BA9">
            <w:pPr>
              <w:pStyle w:val="ConsPlusNormal"/>
              <w:jc w:val="center"/>
            </w:pPr>
            <w:r>
              <w:t>10</w:t>
            </w:r>
          </w:p>
        </w:tc>
      </w:tr>
      <w:tr w:rsidR="007D4BA9">
        <w:tc>
          <w:tcPr>
            <w:tcW w:w="624" w:type="dxa"/>
          </w:tcPr>
          <w:p w:rsidR="007D4BA9" w:rsidRDefault="007D4BA9">
            <w:pPr>
              <w:pStyle w:val="ConsPlusNormal"/>
              <w:jc w:val="center"/>
            </w:pPr>
            <w:r>
              <w:t>3</w:t>
            </w:r>
          </w:p>
        </w:tc>
        <w:tc>
          <w:tcPr>
            <w:tcW w:w="6633" w:type="dxa"/>
          </w:tcPr>
          <w:p w:rsidR="007D4BA9" w:rsidRDefault="007D4BA9">
            <w:pPr>
              <w:pStyle w:val="ConsPlusNormal"/>
              <w:jc w:val="both"/>
            </w:pPr>
            <w:r>
              <w:t>Минимальная обеспеченность озелененными территориями общего пользования районного значения (парки жилых районов, сады жилых районов, скверы, бульвары), кв. м/чел.</w:t>
            </w:r>
          </w:p>
        </w:tc>
        <w:tc>
          <w:tcPr>
            <w:tcW w:w="1757" w:type="dxa"/>
          </w:tcPr>
          <w:p w:rsidR="007D4BA9" w:rsidRDefault="007D4BA9">
            <w:pPr>
              <w:pStyle w:val="ConsPlusNormal"/>
              <w:jc w:val="center"/>
            </w:pPr>
            <w:r>
              <w:t>6</w:t>
            </w:r>
          </w:p>
        </w:tc>
      </w:tr>
      <w:tr w:rsidR="007D4BA9">
        <w:tc>
          <w:tcPr>
            <w:tcW w:w="624" w:type="dxa"/>
          </w:tcPr>
          <w:p w:rsidR="007D4BA9" w:rsidRDefault="007D4BA9">
            <w:pPr>
              <w:pStyle w:val="ConsPlusNormal"/>
              <w:jc w:val="center"/>
            </w:pPr>
            <w:r>
              <w:t>4</w:t>
            </w:r>
          </w:p>
        </w:tc>
        <w:tc>
          <w:tcPr>
            <w:tcW w:w="6633" w:type="dxa"/>
          </w:tcPr>
          <w:p w:rsidR="007D4BA9" w:rsidRDefault="007D4BA9">
            <w:pPr>
              <w:pStyle w:val="ConsPlusNormal"/>
              <w:jc w:val="both"/>
            </w:pPr>
            <w:r>
              <w:t>Обеспеченность городскими лесопарками (преобразованные в лесопарки участки существующих массивов городских лесов, относимые к озелененным территориям общего пользования), кв. м/чел.</w:t>
            </w:r>
          </w:p>
        </w:tc>
        <w:tc>
          <w:tcPr>
            <w:tcW w:w="1757" w:type="dxa"/>
          </w:tcPr>
          <w:p w:rsidR="007D4BA9" w:rsidRDefault="007D4BA9">
            <w:pPr>
              <w:pStyle w:val="ConsPlusNormal"/>
              <w:jc w:val="center"/>
            </w:pPr>
            <w:r>
              <w:t>не более 5</w:t>
            </w:r>
          </w:p>
        </w:tc>
      </w:tr>
      <w:tr w:rsidR="007D4BA9">
        <w:tc>
          <w:tcPr>
            <w:tcW w:w="624" w:type="dxa"/>
          </w:tcPr>
          <w:p w:rsidR="007D4BA9" w:rsidRDefault="007D4BA9">
            <w:pPr>
              <w:pStyle w:val="ConsPlusNormal"/>
              <w:jc w:val="center"/>
            </w:pPr>
            <w:r>
              <w:t>5</w:t>
            </w:r>
          </w:p>
        </w:tc>
        <w:tc>
          <w:tcPr>
            <w:tcW w:w="6633" w:type="dxa"/>
          </w:tcPr>
          <w:p w:rsidR="007D4BA9" w:rsidRDefault="007D4BA9">
            <w:pPr>
              <w:pStyle w:val="ConsPlusNormal"/>
              <w:jc w:val="both"/>
            </w:pPr>
            <w:r>
              <w:t>Минимальная доля площади крупных парков и лесопарков (шириной не менее 0,5 км) в структуре озелененных территорий общего пользования, проценты</w:t>
            </w:r>
          </w:p>
        </w:tc>
        <w:tc>
          <w:tcPr>
            <w:tcW w:w="1757" w:type="dxa"/>
          </w:tcPr>
          <w:p w:rsidR="007D4BA9" w:rsidRDefault="007D4BA9">
            <w:pPr>
              <w:pStyle w:val="ConsPlusNormal"/>
              <w:jc w:val="center"/>
            </w:pPr>
            <w:r>
              <w:t>10</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8" w:name="P683"/>
      <w:bookmarkEnd w:id="8"/>
      <w:r>
        <w:t xml:space="preserve">&lt;*&gt; Расчетные показатели принимаются в соответствии с </w:t>
      </w:r>
      <w:hyperlink r:id="rId35">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95. Площадь озелененных территорий общего пользования в составе общегородского и районного общественного центра определяется исходя из максимального количества единовременных посетителей.</w:t>
      </w:r>
    </w:p>
    <w:p w:rsidR="007D4BA9" w:rsidRDefault="007D4BA9">
      <w:pPr>
        <w:pStyle w:val="ConsPlusNormal"/>
        <w:spacing w:before="220"/>
        <w:ind w:firstLine="540"/>
        <w:jc w:val="both"/>
      </w:pPr>
      <w:r>
        <w:t>96. В площадь озеленения участка общественной застройки кроме озеленения на поверхности земельного участка включается площадь озеленения озелененной кровли стилобата. Крупномерные лиственные зеленые насаждения в площадь озеленения включаются из расчета:</w:t>
      </w:r>
    </w:p>
    <w:p w:rsidR="007D4BA9" w:rsidRDefault="007D4BA9">
      <w:pPr>
        <w:pStyle w:val="ConsPlusNormal"/>
        <w:spacing w:before="220"/>
        <w:ind w:firstLine="540"/>
        <w:jc w:val="both"/>
      </w:pPr>
      <w:r>
        <w:t>1) для посадочного материала с диаметром ствола от 4 до 8 см - 12 кв. м озелененных территорий на одно дерево;</w:t>
      </w:r>
    </w:p>
    <w:p w:rsidR="007D4BA9" w:rsidRDefault="007D4BA9">
      <w:pPr>
        <w:pStyle w:val="ConsPlusNormal"/>
        <w:spacing w:before="220"/>
        <w:ind w:firstLine="540"/>
        <w:jc w:val="both"/>
      </w:pPr>
      <w:r>
        <w:t>2) для посадочного материала с диаметром ствола от 8 до 16 см - 20 кв. м озелененных территорий на одно дерево;</w:t>
      </w:r>
    </w:p>
    <w:p w:rsidR="007D4BA9" w:rsidRDefault="007D4BA9">
      <w:pPr>
        <w:pStyle w:val="ConsPlusNormal"/>
        <w:spacing w:before="220"/>
        <w:ind w:firstLine="540"/>
        <w:jc w:val="both"/>
      </w:pPr>
      <w:r>
        <w:t>3) для кустарника - из расчета 2 кв. м высотой 2 м и более, 1 кв. м высотой от 1 до 2 м;</w:t>
      </w:r>
    </w:p>
    <w:p w:rsidR="007D4BA9" w:rsidRDefault="007D4BA9">
      <w:pPr>
        <w:pStyle w:val="ConsPlusNormal"/>
        <w:spacing w:before="220"/>
        <w:ind w:firstLine="540"/>
        <w:jc w:val="both"/>
      </w:pPr>
      <w:r>
        <w:t>4) для сохраняемых в границах участка существующих крупномерных зеленых насаждений с диаметром ствола более 16 см - 40 кв. м на одно дерево.</w:t>
      </w:r>
    </w:p>
    <w:p w:rsidR="007D4BA9" w:rsidRDefault="007D4BA9">
      <w:pPr>
        <w:pStyle w:val="ConsPlusNormal"/>
        <w:spacing w:before="220"/>
        <w:ind w:firstLine="540"/>
        <w:jc w:val="both"/>
      </w:pPr>
      <w:r>
        <w:t>97. В площадь озеленения участка общественной застройки включаются (но не более 20 процентов от расчетного количества) площадь зеленой кровли, вертикальное озеленение.</w:t>
      </w:r>
    </w:p>
    <w:p w:rsidR="007D4BA9" w:rsidRDefault="007D4BA9">
      <w:pPr>
        <w:pStyle w:val="ConsPlusNormal"/>
        <w:spacing w:before="220"/>
        <w:ind w:firstLine="540"/>
        <w:jc w:val="both"/>
      </w:pPr>
      <w:r>
        <w:t>98. В площадь озеленения участка общественной застройки включается проезд с применением усиленного газона, используемый только для организации пожаротушения. Иные озелененные проезды в площадь озелененной придомовой территории не включаются.</w:t>
      </w:r>
    </w:p>
    <w:p w:rsidR="007D4BA9" w:rsidRDefault="007D4BA9">
      <w:pPr>
        <w:pStyle w:val="ConsPlusNormal"/>
        <w:spacing w:before="220"/>
        <w:ind w:firstLine="540"/>
        <w:jc w:val="both"/>
      </w:pPr>
      <w:r>
        <w:t>99. В площадь озеленения участка общественной застройки включаются (но не более пяти процентов от расчетного количества) экологические зеленые парковки при условии представления в эскизном предложении информации о технологии их организации, возможности реализации, качестве материалов.</w:t>
      </w:r>
    </w:p>
    <w:p w:rsidR="007D4BA9" w:rsidRDefault="007D4BA9">
      <w:pPr>
        <w:pStyle w:val="ConsPlusNormal"/>
        <w:spacing w:before="220"/>
        <w:ind w:firstLine="540"/>
        <w:jc w:val="both"/>
      </w:pPr>
      <w:r>
        <w:lastRenderedPageBreak/>
        <w:t>100. Расчетное количество озеленения участка общественной застройки сокращается (но не более чем на 30 процентов) при наличии общественных озелененных территорий (парки, сады, скверы, бульвары), расположенных в радиусе 500 м или пешеходной доступности 800 м.</w:t>
      </w:r>
    </w:p>
    <w:p w:rsidR="007D4BA9" w:rsidRDefault="007D4BA9">
      <w:pPr>
        <w:pStyle w:val="ConsPlusNormal"/>
        <w:spacing w:before="220"/>
        <w:ind w:firstLine="540"/>
        <w:jc w:val="both"/>
      </w:pPr>
      <w:r>
        <w:t>101. В случае расположения объектов общественной застройки на территориях парков, скверов, набережных и других общественных пространств, а также на территориях, смежных с ними или находящихся в радиусе не более 50 м, размещение в границах участка озелененных территорий и зеленых насаждений является необязательным.</w:t>
      </w:r>
    </w:p>
    <w:p w:rsidR="007D4BA9" w:rsidRDefault="007D4BA9">
      <w:pPr>
        <w:pStyle w:val="ConsPlusNormal"/>
        <w:spacing w:before="220"/>
        <w:ind w:firstLine="540"/>
        <w:jc w:val="both"/>
      </w:pPr>
      <w:r>
        <w:t>102. Параметры по озеленению не распространяются на реконструкцию существующих объектов капитального строительства, не влекущую изменения параметров объекта капитального строительства, а также на реконструкцию существующих объектов капитального строительства, расположенных на территориях действия ограничений по условиям охраны памятников истории и культуры, влекущую увеличение параметров такого объекта, но не более чем на 15 процентов.</w:t>
      </w:r>
    </w:p>
    <w:p w:rsidR="007D4BA9" w:rsidRDefault="007D4BA9">
      <w:pPr>
        <w:pStyle w:val="ConsPlusNormal"/>
        <w:spacing w:before="220"/>
        <w:ind w:firstLine="540"/>
        <w:jc w:val="both"/>
      </w:pPr>
      <w:r>
        <w:t>103. На территориях вновь образуемых общественных центров должны быть организованы скверы, мини-скверы и озелененные участки общего пользования площадью менее 0,05 га, оборудованные парковой мебелью для отдыха.</w:t>
      </w:r>
    </w:p>
    <w:p w:rsidR="007D4BA9" w:rsidRDefault="007D4BA9">
      <w:pPr>
        <w:pStyle w:val="ConsPlusNormal"/>
        <w:jc w:val="both"/>
      </w:pPr>
    </w:p>
    <w:p w:rsidR="007D4BA9" w:rsidRDefault="007D4BA9">
      <w:pPr>
        <w:pStyle w:val="ConsPlusTitle"/>
        <w:jc w:val="center"/>
        <w:outlineLvl w:val="2"/>
      </w:pPr>
      <w:r>
        <w:t>Глава 20. ТРЕБОВАНИЯ ВОДНОГО ЗАКОНОДАТЕЛЬСТВА</w:t>
      </w:r>
    </w:p>
    <w:p w:rsidR="007D4BA9" w:rsidRDefault="007D4BA9">
      <w:pPr>
        <w:pStyle w:val="ConsPlusTitle"/>
        <w:jc w:val="center"/>
      </w:pPr>
      <w:r>
        <w:t>РОССИЙСКОЙ ФЕДЕРАЦИИ К ОРГАНИЗАЦИИ ТЕРРИТОРИЙ, ПРИМЫКАЮЩИХ</w:t>
      </w:r>
    </w:p>
    <w:p w:rsidR="007D4BA9" w:rsidRDefault="007D4BA9">
      <w:pPr>
        <w:pStyle w:val="ConsPlusTitle"/>
        <w:jc w:val="center"/>
      </w:pPr>
      <w:r>
        <w:t>К БЕРЕГОВОЙ ЛИНИИ ВОДНЫХ ОБЪЕКТОВ ОБЩЕГО ПОЛЬЗОВАНИЯ</w:t>
      </w:r>
    </w:p>
    <w:p w:rsidR="007D4BA9" w:rsidRDefault="007D4BA9">
      <w:pPr>
        <w:pStyle w:val="ConsPlusNormal"/>
        <w:jc w:val="both"/>
      </w:pPr>
    </w:p>
    <w:p w:rsidR="007D4BA9" w:rsidRDefault="007D4BA9">
      <w:pPr>
        <w:pStyle w:val="ConsPlusNormal"/>
        <w:ind w:firstLine="540"/>
        <w:jc w:val="both"/>
      </w:pPr>
      <w:r>
        <w:t xml:space="preserve">104. Мероприятия по защите водных объектов предусматриваются в соответствии с требованиями Водного </w:t>
      </w:r>
      <w:hyperlink r:id="rId36">
        <w:r>
          <w:rPr>
            <w:color w:val="0000FF"/>
          </w:rPr>
          <w:t>кодекса</w:t>
        </w:r>
      </w:hyperlink>
      <w:r>
        <w:t xml:space="preserve"> Российской Федерации, нормативных правовых актов Республики Татарстан, санитарных и экологических норм, а также Местных нормативов. При этом необходимо обеспечивать предупреждение загрязнения водных объектов с соблюдением предельно допустимых концентраций загрязняющих веществ в водных объектах, используемых для хозяйственно-питьевого водоснабжения, отдыха населения, </w:t>
      </w:r>
      <w:proofErr w:type="spellStart"/>
      <w:r>
        <w:t>рыбохозяйственных</w:t>
      </w:r>
      <w:proofErr w:type="spellEnd"/>
      <w:r>
        <w:t xml:space="preserve"> целей.</w:t>
      </w:r>
    </w:p>
    <w:p w:rsidR="007D4BA9" w:rsidRDefault="007D4BA9">
      <w:pPr>
        <w:pStyle w:val="ConsPlusNormal"/>
        <w:spacing w:before="220"/>
        <w:ind w:firstLine="540"/>
        <w:jc w:val="both"/>
      </w:pPr>
      <w:r>
        <w:t xml:space="preserve">105. При размещении, проектировании, вводе в эксплуатацию и эксплуатации хозяйственных или других объектов и проведении любых работ, способных оказать влияние на качество воды водных объектов, обязательно соблюдение нормативов, устанавливаемых </w:t>
      </w:r>
      <w:hyperlink r:id="rId37">
        <w:r>
          <w:rPr>
            <w:color w:val="0000FF"/>
          </w:rPr>
          <w:t>постановлением</w:t>
        </w:r>
      </w:hyperlink>
      <w:r>
        <w:t xml:space="preserve"> Главного 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w:t>
      </w:r>
      <w:hyperlink r:id="rId38">
        <w:r>
          <w:rPr>
            <w:color w:val="0000FF"/>
          </w:rPr>
          <w:t>СанПиН 2.1.3684-21</w:t>
        </w:r>
      </w:hyperlink>
      <w:r>
        <w:t>.</w:t>
      </w:r>
    </w:p>
    <w:p w:rsidR="007D4BA9" w:rsidRDefault="007D4BA9">
      <w:pPr>
        <w:pStyle w:val="ConsPlusNormal"/>
        <w:spacing w:before="220"/>
        <w:ind w:firstLine="540"/>
        <w:jc w:val="both"/>
      </w:pPr>
      <w:r>
        <w:t xml:space="preserve">106. В зонах отдыха, расположенных на берегах водных объектов, </w:t>
      </w:r>
      <w:proofErr w:type="spellStart"/>
      <w:r>
        <w:t>водоохранные</w:t>
      </w:r>
      <w:proofErr w:type="spellEnd"/>
      <w:r>
        <w:t xml:space="preserve"> мероприятия должны отвечать требованиям Межгосударственного стандарта </w:t>
      </w:r>
      <w:hyperlink r:id="rId39">
        <w:r>
          <w:rPr>
            <w:color w:val="0000FF"/>
          </w:rPr>
          <w:t>ГОСТ 17.1.5.02-80</w:t>
        </w:r>
      </w:hyperlink>
      <w:r>
        <w:t xml:space="preserve"> "Охрана природы. Гидросфера. Гигиенические требования к зонам рекреации водных объектов".</w:t>
      </w:r>
    </w:p>
    <w:p w:rsidR="007D4BA9" w:rsidRDefault="007D4BA9">
      <w:pPr>
        <w:pStyle w:val="ConsPlusNormal"/>
        <w:spacing w:before="220"/>
        <w:ind w:firstLine="540"/>
        <w:jc w:val="both"/>
      </w:pPr>
      <w:r>
        <w:t>107.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20 м, за исключением береговой полосы каналов, а также рек и ручьев, протяженность которых от истока до устья не более чем 10 км. Ширина береговой полосы каналов, а также рек и ручьев, протяженность которых от истока до устья не более чем 10 км, составляет 5 м.</w:t>
      </w:r>
    </w:p>
    <w:p w:rsidR="007D4BA9" w:rsidRDefault="007D4BA9">
      <w:pPr>
        <w:pStyle w:val="ConsPlusNormal"/>
        <w:spacing w:before="220"/>
        <w:ind w:firstLine="540"/>
        <w:jc w:val="both"/>
      </w:pPr>
      <w:r>
        <w:t>108. При проектировании и застройке необходимо обеспечивать свободное пользование (без использования механических транспортных средств) береговой полосой водных объектов общего пользования для передвижения и пребывания.</w:t>
      </w:r>
    </w:p>
    <w:p w:rsidR="007D4BA9" w:rsidRDefault="007D4BA9">
      <w:pPr>
        <w:pStyle w:val="ConsPlusNormal"/>
        <w:spacing w:before="220"/>
        <w:ind w:firstLine="540"/>
        <w:jc w:val="both"/>
      </w:pPr>
      <w:r>
        <w:lastRenderedPageBreak/>
        <w:t xml:space="preserve">109. В границах </w:t>
      </w:r>
      <w:proofErr w:type="spellStart"/>
      <w:r>
        <w:t>водоохранных</w:t>
      </w:r>
      <w:proofErr w:type="spellEnd"/>
      <w:r>
        <w:t xml:space="preserve">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rsidR="007D4BA9" w:rsidRDefault="007D4BA9">
      <w:pPr>
        <w:pStyle w:val="ConsPlusNormal"/>
        <w:jc w:val="both"/>
      </w:pPr>
    </w:p>
    <w:p w:rsidR="007D4BA9" w:rsidRDefault="007D4BA9">
      <w:pPr>
        <w:pStyle w:val="ConsPlusTitle"/>
        <w:jc w:val="center"/>
        <w:outlineLvl w:val="1"/>
      </w:pPr>
      <w:r>
        <w:t>Раздел II. РАСЧЕТНЫЕ ПОКАЗАТЕЛИ И ТРЕБОВАНИЯ К РАЗМЕЩЕНИЮ</w:t>
      </w:r>
    </w:p>
    <w:p w:rsidR="007D4BA9" w:rsidRDefault="007D4BA9">
      <w:pPr>
        <w:pStyle w:val="ConsPlusTitle"/>
        <w:jc w:val="center"/>
      </w:pPr>
      <w:r>
        <w:t>ОБЪЕКТОВ МЕСТНОГО ЗНАЧЕНИЯ И ИНЫХ ОБЪЕКТОВ</w:t>
      </w:r>
    </w:p>
    <w:p w:rsidR="007D4BA9" w:rsidRDefault="007D4BA9">
      <w:pPr>
        <w:pStyle w:val="ConsPlusTitle"/>
        <w:jc w:val="center"/>
      </w:pPr>
      <w:r>
        <w:t>ГРАДОСТРОИТЕЛЬНОГО НОРМИРОВАНИЯ</w:t>
      </w:r>
    </w:p>
    <w:p w:rsidR="007D4BA9" w:rsidRDefault="007D4BA9">
      <w:pPr>
        <w:pStyle w:val="ConsPlusNormal"/>
        <w:jc w:val="both"/>
      </w:pPr>
    </w:p>
    <w:p w:rsidR="007D4BA9" w:rsidRDefault="007D4BA9">
      <w:pPr>
        <w:pStyle w:val="ConsPlusTitle"/>
        <w:jc w:val="center"/>
        <w:outlineLvl w:val="2"/>
      </w:pPr>
      <w:r>
        <w:t>Глава 21. РАСЧЕТНЫЕ ПОКАЗАТЕЛИ И ТРЕБОВАНИЯ</w:t>
      </w:r>
    </w:p>
    <w:p w:rsidR="007D4BA9" w:rsidRDefault="007D4BA9">
      <w:pPr>
        <w:pStyle w:val="ConsPlusTitle"/>
        <w:jc w:val="center"/>
      </w:pPr>
      <w:r>
        <w:t>К РАЗМЕЩЕНИЮ ОБЪЕКТОВ СОЦИАЛЬНОЙ ИНФРАСТРУКТУРЫ</w:t>
      </w:r>
    </w:p>
    <w:p w:rsidR="007D4BA9" w:rsidRDefault="007D4BA9">
      <w:pPr>
        <w:pStyle w:val="ConsPlusNormal"/>
        <w:jc w:val="both"/>
      </w:pPr>
    </w:p>
    <w:p w:rsidR="007D4BA9" w:rsidRDefault="007D4BA9">
      <w:pPr>
        <w:pStyle w:val="ConsPlusNormal"/>
        <w:ind w:firstLine="540"/>
        <w:jc w:val="both"/>
      </w:pPr>
      <w:r>
        <w:t>110. К объектам социальной инфраструктуры местного значения и объектам, не являющимся объектами местного значения, относятся:</w:t>
      </w:r>
    </w:p>
    <w:p w:rsidR="007D4BA9" w:rsidRDefault="007D4BA9">
      <w:pPr>
        <w:pStyle w:val="ConsPlusNormal"/>
        <w:spacing w:before="220"/>
        <w:ind w:firstLine="540"/>
        <w:jc w:val="both"/>
      </w:pPr>
      <w:r>
        <w:t>1) объекты капитального строительства или части таких объектов, предназначенные для размещения учреждений, предприятий, в которых граждане получают или приобретают указанные в настоящем разделе услуги, а также земельные участки, необходимые для размещения, функционирования и эксплуатации объектов, указанных в настоящем разделе;</w:t>
      </w:r>
    </w:p>
    <w:p w:rsidR="007D4BA9" w:rsidRDefault="007D4BA9">
      <w:pPr>
        <w:pStyle w:val="ConsPlusNormal"/>
        <w:spacing w:before="220"/>
        <w:ind w:firstLine="540"/>
        <w:jc w:val="both"/>
      </w:pPr>
      <w:r>
        <w:t>2) нежилые помещения, сооружения, благоустроенные участки территории, которые используются гражданами самостоятельно для спортивно-оздоровительных занятий, культурно-досуговых занятий.</w:t>
      </w:r>
    </w:p>
    <w:p w:rsidR="007D4BA9" w:rsidRDefault="007D4BA9">
      <w:pPr>
        <w:pStyle w:val="ConsPlusNormal"/>
        <w:spacing w:before="220"/>
        <w:ind w:firstLine="540"/>
        <w:jc w:val="both"/>
      </w:pPr>
      <w:r>
        <w:t>111. Объекты социальной инфраструктуры местного значения и объекты, не являющиеся объектами местного значения, предоставляют различным социально-демографическим группам населения, в том числе маломобильным группам населения, массовые и избирательные услуги повседневного, периодического и эпизодического спроса:</w:t>
      </w:r>
    </w:p>
    <w:p w:rsidR="007D4BA9" w:rsidRDefault="007D4BA9">
      <w:pPr>
        <w:pStyle w:val="ConsPlusNormal"/>
        <w:spacing w:before="220"/>
        <w:ind w:firstLine="540"/>
        <w:jc w:val="both"/>
      </w:pPr>
      <w:r>
        <w:t>1) объекты повседневного обслуживания - учреждения и предприятия, посещаемые населением не реже одного раза в неделю, располагаемые в пределах жилого микрорайона;</w:t>
      </w:r>
    </w:p>
    <w:p w:rsidR="007D4BA9" w:rsidRDefault="007D4BA9">
      <w:pPr>
        <w:pStyle w:val="ConsPlusNormal"/>
        <w:spacing w:before="220"/>
        <w:ind w:firstLine="540"/>
        <w:jc w:val="both"/>
      </w:pPr>
      <w:r>
        <w:t>2) объекты периодического обслуживания - учреждения и предприятия, посещаемые населением не реже одного раза в месяц, располагаемые в пределах планировочной единицы I уровня (жилой район);</w:t>
      </w:r>
    </w:p>
    <w:p w:rsidR="007D4BA9" w:rsidRDefault="007D4BA9">
      <w:pPr>
        <w:pStyle w:val="ConsPlusNormal"/>
        <w:spacing w:before="220"/>
        <w:ind w:firstLine="540"/>
        <w:jc w:val="both"/>
      </w:pPr>
      <w:r>
        <w:t>3) объекты эпизодического обслуживания - учреждения и предприятия, посещаемые населением реже одного раза в месяц и имеющие городское значение.</w:t>
      </w:r>
    </w:p>
    <w:p w:rsidR="007D4BA9" w:rsidRDefault="007D4BA9">
      <w:pPr>
        <w:pStyle w:val="ConsPlusNormal"/>
        <w:spacing w:before="220"/>
        <w:ind w:firstLine="540"/>
        <w:jc w:val="both"/>
      </w:pPr>
      <w:r>
        <w:t xml:space="preserve">112. Размещение объектов социальной инфраструктуры местного значения повседневного обслуживания обязательно при проектировании микрорайона </w:t>
      </w:r>
      <w:r w:rsidR="007C5BC7">
        <w:t xml:space="preserve"> </w:t>
      </w:r>
      <w:r>
        <w:t xml:space="preserve"> или жилого комплекса, размещаемого вне территории жилой планировочной единицы в смешанных зонах или зонах общественно-деловой застройки.</w:t>
      </w:r>
    </w:p>
    <w:p w:rsidR="007D4BA9" w:rsidRDefault="007D4BA9">
      <w:pPr>
        <w:pStyle w:val="ConsPlusNormal"/>
        <w:spacing w:before="220"/>
        <w:ind w:firstLine="540"/>
        <w:jc w:val="both"/>
      </w:pPr>
      <w:r>
        <w:t xml:space="preserve">113. В случае размещения микрорайона </w:t>
      </w:r>
      <w:r w:rsidR="007C5BC7">
        <w:t xml:space="preserve"> </w:t>
      </w:r>
      <w:r>
        <w:t xml:space="preserve"> или жилого комплекса в составе жилой планировочной единицы объекты повседневного обслуживания и показатели обеспеченности ими входят в суммарные показатели обеспеченности объектами периодического обслуживания.</w:t>
      </w:r>
    </w:p>
    <w:p w:rsidR="007D4BA9" w:rsidRDefault="007D4BA9">
      <w:pPr>
        <w:pStyle w:val="ConsPlusNormal"/>
        <w:spacing w:before="220"/>
        <w:ind w:firstLine="540"/>
        <w:jc w:val="both"/>
      </w:pPr>
      <w:r>
        <w:t xml:space="preserve">114. Объекты муниципального значения социальной инфраструктуры, а также объекты здравоохранения республиканского значения (за исключением расположенных (проектируемых) </w:t>
      </w:r>
      <w:r>
        <w:lastRenderedPageBreak/>
        <w:t>во встроенных, пристроенных и встроенно-пристроенных помещениях дошкольные общеобразовательные организации (далее - ДОО), библиотек, подростковых клубов, объектов обеспечения внутреннего правопорядка (общественные пункты охраны порядка), поликлиник) необходимо предусматривать отдельно стоящими, имеющими свой земельный участок.</w:t>
      </w:r>
    </w:p>
    <w:p w:rsidR="007D4BA9" w:rsidRDefault="007D4BA9">
      <w:pPr>
        <w:pStyle w:val="ConsPlusNormal"/>
        <w:spacing w:before="220"/>
        <w:ind w:firstLine="540"/>
        <w:jc w:val="both"/>
      </w:pPr>
      <w:r>
        <w:t>115. ДОО, библиотеки, подростковые клубы, объекты обеспечения внутреннего правопорядка (общественные пункты охраны порядка), поликлиники, расположенные (проектируемые) во встроенных, пристроенных и встроенно-пристроенные ДОО помещениях, включаются в расчет обеспеченности при условии расположения (проектирования) их в помещениях, находящихся соответственно в муниципальной или государственной собственности Республики Татарстан или предназначенных для передачи в такую собственность.</w:t>
      </w:r>
    </w:p>
    <w:p w:rsidR="007D4BA9" w:rsidRDefault="007D4BA9">
      <w:pPr>
        <w:pStyle w:val="ConsPlusNormal"/>
        <w:spacing w:before="220"/>
        <w:ind w:firstLine="540"/>
        <w:jc w:val="both"/>
      </w:pPr>
      <w:r>
        <w:t>116. На вновь застраиваемых территориях и существующих территориях ИЖС объекты обслуживания могут объединяться в одном здании (комплексе) с учетом их территориальной доступности до обслуживаемых жилых домов.</w:t>
      </w:r>
    </w:p>
    <w:p w:rsidR="007D4BA9" w:rsidRDefault="007D4BA9">
      <w:pPr>
        <w:pStyle w:val="ConsPlusNormal"/>
        <w:spacing w:before="220"/>
        <w:ind w:firstLine="540"/>
        <w:jc w:val="both"/>
      </w:pPr>
      <w:r>
        <w:t>117. При размещении объектов, осуществляющих образовательную деятельность, в том числе религиозно-образовательную, общежития для проживания сотрудников и учащихся необходимо предусматривать в радиусе пешеходной доступности.</w:t>
      </w:r>
    </w:p>
    <w:p w:rsidR="007D4BA9" w:rsidRDefault="007D4BA9">
      <w:pPr>
        <w:pStyle w:val="ConsPlusNormal"/>
        <w:spacing w:before="220"/>
        <w:ind w:firstLine="540"/>
        <w:jc w:val="both"/>
      </w:pPr>
      <w:r>
        <w:t>118. Требование к радиусу пешеходной доступности не применяется в случае размещения общежития для нескольких объектов, осуществляющих образовательную деятельность, в том числе в комплексе общежитий.</w:t>
      </w:r>
    </w:p>
    <w:p w:rsidR="007D4BA9" w:rsidRDefault="007D4BA9">
      <w:pPr>
        <w:pStyle w:val="ConsPlusNormal"/>
        <w:spacing w:before="220"/>
        <w:ind w:firstLine="540"/>
        <w:jc w:val="both"/>
      </w:pPr>
      <w:r>
        <w:t xml:space="preserve">119. Минимальный состав объектов различного назначения, размещаемых в границах жилого района и микрорайона, представлен в </w:t>
      </w:r>
      <w:hyperlink w:anchor="P737">
        <w:r>
          <w:rPr>
            <w:color w:val="0000FF"/>
          </w:rPr>
          <w:t>таблицах 8</w:t>
        </w:r>
      </w:hyperlink>
      <w:r>
        <w:t xml:space="preserve">, </w:t>
      </w:r>
      <w:hyperlink w:anchor="P774">
        <w:r>
          <w:rPr>
            <w:color w:val="0000FF"/>
          </w:rPr>
          <w:t>9</w:t>
        </w:r>
      </w:hyperlink>
      <w:r>
        <w:t>.</w:t>
      </w:r>
    </w:p>
    <w:p w:rsidR="007D4BA9" w:rsidRDefault="007D4BA9">
      <w:pPr>
        <w:pStyle w:val="ConsPlusNormal"/>
        <w:spacing w:before="220"/>
        <w:ind w:firstLine="540"/>
        <w:jc w:val="both"/>
      </w:pPr>
      <w:r>
        <w:t xml:space="preserve">120. Минимальный состав объектов общегородского значения различного назначения представлен в </w:t>
      </w:r>
      <w:hyperlink w:anchor="P802">
        <w:r>
          <w:rPr>
            <w:color w:val="0000FF"/>
          </w:rPr>
          <w:t>таблице 10</w:t>
        </w:r>
      </w:hyperlink>
      <w:r>
        <w:t>.</w:t>
      </w:r>
    </w:p>
    <w:p w:rsidR="007D4BA9" w:rsidRDefault="007D4BA9">
      <w:pPr>
        <w:pStyle w:val="ConsPlusNormal"/>
        <w:spacing w:before="220"/>
        <w:ind w:firstLine="540"/>
        <w:jc w:val="both"/>
      </w:pPr>
      <w:r>
        <w:t>121. Объекты, которые не финансируются из бюджета любого уровня, в расчет обеспеченности (в соответствии с Местными нормативами) социальными объектами не входят.</w:t>
      </w:r>
    </w:p>
    <w:p w:rsidR="007D4BA9" w:rsidRDefault="007D4BA9">
      <w:pPr>
        <w:pStyle w:val="ConsPlusNormal"/>
        <w:jc w:val="both"/>
      </w:pPr>
    </w:p>
    <w:p w:rsidR="007D4BA9" w:rsidRDefault="007D4BA9">
      <w:pPr>
        <w:pStyle w:val="ConsPlusNormal"/>
        <w:jc w:val="right"/>
        <w:outlineLvl w:val="3"/>
      </w:pPr>
      <w:r>
        <w:t>Таблица 8</w:t>
      </w:r>
    </w:p>
    <w:p w:rsidR="007D4BA9" w:rsidRDefault="007D4BA9">
      <w:pPr>
        <w:pStyle w:val="ConsPlusNormal"/>
        <w:jc w:val="both"/>
      </w:pPr>
    </w:p>
    <w:p w:rsidR="007D4BA9" w:rsidRDefault="007D4BA9">
      <w:pPr>
        <w:pStyle w:val="ConsPlusTitle"/>
        <w:jc w:val="center"/>
      </w:pPr>
      <w:bookmarkStart w:id="9" w:name="P737"/>
      <w:bookmarkEnd w:id="9"/>
      <w:r>
        <w:t>Минимальный состав объектов различного назначения,</w:t>
      </w:r>
    </w:p>
    <w:p w:rsidR="007D4BA9" w:rsidRDefault="007D4BA9">
      <w:pPr>
        <w:pStyle w:val="ConsPlusTitle"/>
        <w:jc w:val="center"/>
      </w:pPr>
      <w:r>
        <w:t>размещаемых в границах жилого района</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576"/>
      </w:tblGrid>
      <w:tr w:rsidR="007D4BA9">
        <w:tc>
          <w:tcPr>
            <w:tcW w:w="2438" w:type="dxa"/>
          </w:tcPr>
          <w:p w:rsidR="007D4BA9" w:rsidRDefault="007D4BA9">
            <w:pPr>
              <w:pStyle w:val="ConsPlusNormal"/>
              <w:jc w:val="center"/>
            </w:pPr>
            <w:r>
              <w:t>Назначение объектов</w:t>
            </w:r>
          </w:p>
        </w:tc>
        <w:tc>
          <w:tcPr>
            <w:tcW w:w="6576" w:type="dxa"/>
          </w:tcPr>
          <w:p w:rsidR="007D4BA9" w:rsidRDefault="007D4BA9">
            <w:pPr>
              <w:pStyle w:val="ConsPlusNormal"/>
              <w:jc w:val="center"/>
            </w:pPr>
            <w:r>
              <w:t>Состав объектов в границах планировочной единицы I уровня (жилой район)</w:t>
            </w:r>
          </w:p>
        </w:tc>
      </w:tr>
      <w:tr w:rsidR="007D4BA9">
        <w:tc>
          <w:tcPr>
            <w:tcW w:w="2438" w:type="dxa"/>
          </w:tcPr>
          <w:p w:rsidR="007D4BA9" w:rsidRDefault="007D4BA9">
            <w:pPr>
              <w:pStyle w:val="ConsPlusNormal"/>
              <w:jc w:val="center"/>
            </w:pPr>
            <w:r>
              <w:t>Объекты учебно-образовательного назначения</w:t>
            </w:r>
          </w:p>
        </w:tc>
        <w:tc>
          <w:tcPr>
            <w:tcW w:w="6576" w:type="dxa"/>
          </w:tcPr>
          <w:p w:rsidR="007D4BA9" w:rsidRDefault="007D4BA9">
            <w:pPr>
              <w:pStyle w:val="ConsPlusNormal"/>
              <w:jc w:val="both"/>
            </w:pPr>
            <w:r>
              <w:t>Внешкольные организации дополнительного образования (детские школы искусств, музыкальные, художественные, хореографические школы, детско-юношеские спортивные школы)</w:t>
            </w:r>
          </w:p>
        </w:tc>
      </w:tr>
      <w:tr w:rsidR="007D4BA9">
        <w:tc>
          <w:tcPr>
            <w:tcW w:w="2438" w:type="dxa"/>
            <w:vMerge w:val="restart"/>
          </w:tcPr>
          <w:p w:rsidR="007D4BA9" w:rsidRDefault="007D4BA9">
            <w:pPr>
              <w:pStyle w:val="ConsPlusNormal"/>
              <w:jc w:val="center"/>
            </w:pPr>
            <w:r>
              <w:t>Объекты здравоохранения и социального обеспечения</w:t>
            </w:r>
          </w:p>
        </w:tc>
        <w:tc>
          <w:tcPr>
            <w:tcW w:w="6576" w:type="dxa"/>
          </w:tcPr>
          <w:p w:rsidR="007D4BA9" w:rsidRDefault="007D4BA9">
            <w:pPr>
              <w:pStyle w:val="ConsPlusNormal"/>
              <w:jc w:val="both"/>
            </w:pPr>
            <w:r>
              <w:t>Комплексные центры социального обслуживания населения, в том числе отделения социального обслуживания, центры материнских выплат</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Учреждения социальной помощи для лиц без определенного места жительства и занятий</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Молочные кухни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 xml:space="preserve">Амбулаторно-поликлинические учреждения (поликлиники, </w:t>
            </w:r>
            <w:r>
              <w:lastRenderedPageBreak/>
              <w:t>стоматологические поликлиники, амбулатории, офисы врачей общей практики)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Фельдшерские или фельдшерско-акушерские пункты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Женские консультации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Учреждения переливания крови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Станции скорой медицинской помощи</w:t>
            </w:r>
          </w:p>
        </w:tc>
      </w:tr>
      <w:tr w:rsidR="007D4BA9">
        <w:tc>
          <w:tcPr>
            <w:tcW w:w="2438" w:type="dxa"/>
            <w:vMerge w:val="restart"/>
          </w:tcPr>
          <w:p w:rsidR="007D4BA9" w:rsidRDefault="007D4BA9">
            <w:pPr>
              <w:pStyle w:val="ConsPlusNormal"/>
              <w:jc w:val="center"/>
            </w:pPr>
            <w:r>
              <w:t>Объекты спортивного назначения</w:t>
            </w:r>
          </w:p>
        </w:tc>
        <w:tc>
          <w:tcPr>
            <w:tcW w:w="6576" w:type="dxa"/>
          </w:tcPr>
          <w:p w:rsidR="007D4BA9" w:rsidRDefault="007D4BA9">
            <w:pPr>
              <w:pStyle w:val="ConsPlusNormal"/>
              <w:jc w:val="both"/>
            </w:pPr>
            <w:r>
              <w:t>Физкультурно-оздоровительные комплексы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Спортивные залы общего пользования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Бассейны крытые и открытые общего пользования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Боулинг, бильярд</w:t>
            </w:r>
          </w:p>
        </w:tc>
      </w:tr>
      <w:tr w:rsidR="007D4BA9">
        <w:tc>
          <w:tcPr>
            <w:tcW w:w="2438" w:type="dxa"/>
          </w:tcPr>
          <w:p w:rsidR="007D4BA9" w:rsidRDefault="007D4BA9">
            <w:pPr>
              <w:pStyle w:val="ConsPlusNormal"/>
              <w:jc w:val="center"/>
            </w:pPr>
            <w:r>
              <w:t>Объекты культурно-досугового назначения</w:t>
            </w:r>
          </w:p>
        </w:tc>
        <w:tc>
          <w:tcPr>
            <w:tcW w:w="6576" w:type="dxa"/>
          </w:tcPr>
          <w:p w:rsidR="007D4BA9" w:rsidRDefault="007D4BA9">
            <w:pPr>
              <w:pStyle w:val="ConsPlusNormal"/>
              <w:jc w:val="both"/>
            </w:pPr>
            <w:r>
              <w:t>Городские библиотеки</w:t>
            </w:r>
          </w:p>
        </w:tc>
      </w:tr>
      <w:tr w:rsidR="007D4BA9">
        <w:tc>
          <w:tcPr>
            <w:tcW w:w="2438" w:type="dxa"/>
            <w:vMerge w:val="restart"/>
          </w:tcPr>
          <w:p w:rsidR="007D4BA9" w:rsidRDefault="007D4BA9">
            <w:pPr>
              <w:pStyle w:val="ConsPlusNormal"/>
              <w:jc w:val="center"/>
            </w:pPr>
            <w:r>
              <w:t>Объекты торгово-бытового назначения</w:t>
            </w:r>
          </w:p>
        </w:tc>
        <w:tc>
          <w:tcPr>
            <w:tcW w:w="6576" w:type="dxa"/>
          </w:tcPr>
          <w:p w:rsidR="007D4BA9" w:rsidRDefault="007D4BA9">
            <w:pPr>
              <w:pStyle w:val="ConsPlusNormal"/>
              <w:jc w:val="both"/>
            </w:pPr>
            <w:r>
              <w:t>Предприятия общественного питания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Магазины смешанного ассортимента</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Банно-оздоровительные комплексы, сауны</w:t>
            </w:r>
          </w:p>
        </w:tc>
      </w:tr>
      <w:tr w:rsidR="007D4BA9">
        <w:tc>
          <w:tcPr>
            <w:tcW w:w="2438" w:type="dxa"/>
            <w:vMerge w:val="restart"/>
          </w:tcPr>
          <w:p w:rsidR="007D4BA9" w:rsidRDefault="007D4BA9">
            <w:pPr>
              <w:pStyle w:val="ConsPlusNormal"/>
              <w:jc w:val="center"/>
            </w:pPr>
            <w:r>
              <w:t>Иные объекты социальной инфраструктуры</w:t>
            </w:r>
          </w:p>
        </w:tc>
        <w:tc>
          <w:tcPr>
            <w:tcW w:w="6576" w:type="dxa"/>
          </w:tcPr>
          <w:p w:rsidR="007D4BA9" w:rsidRDefault="007D4BA9">
            <w:pPr>
              <w:pStyle w:val="ConsPlusNormal"/>
              <w:jc w:val="both"/>
            </w:pPr>
            <w:r>
              <w:t>Пункты приема вторичного сырья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Юридические консультации и нотариальные конторы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Отделения полиции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Жилищно-эксплуатационные организации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Ветеринарные клиники без содержания животных</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Бюро похоронного обслуживания</w:t>
            </w:r>
          </w:p>
        </w:tc>
      </w:tr>
    </w:tbl>
    <w:p w:rsidR="007D4BA9" w:rsidRDefault="007D4BA9">
      <w:pPr>
        <w:pStyle w:val="ConsPlusNormal"/>
        <w:jc w:val="both"/>
      </w:pPr>
    </w:p>
    <w:p w:rsidR="007D4BA9" w:rsidRDefault="007D4BA9">
      <w:pPr>
        <w:pStyle w:val="ConsPlusNormal"/>
        <w:jc w:val="right"/>
        <w:outlineLvl w:val="3"/>
      </w:pPr>
      <w:r>
        <w:t>Таблица 9</w:t>
      </w:r>
    </w:p>
    <w:p w:rsidR="007D4BA9" w:rsidRDefault="007D4BA9">
      <w:pPr>
        <w:pStyle w:val="ConsPlusNormal"/>
        <w:jc w:val="both"/>
      </w:pPr>
    </w:p>
    <w:p w:rsidR="007D4BA9" w:rsidRDefault="007D4BA9">
      <w:pPr>
        <w:pStyle w:val="ConsPlusTitle"/>
        <w:jc w:val="center"/>
      </w:pPr>
      <w:bookmarkStart w:id="10" w:name="P774"/>
      <w:bookmarkEnd w:id="10"/>
      <w:r>
        <w:t>Минимальный состав объектов различного назначения,</w:t>
      </w:r>
    </w:p>
    <w:p w:rsidR="007D4BA9" w:rsidRDefault="007D4BA9">
      <w:pPr>
        <w:pStyle w:val="ConsPlusTitle"/>
        <w:jc w:val="center"/>
      </w:pPr>
      <w:r>
        <w:t>размещаемых в границах жилого микрорайона</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576"/>
      </w:tblGrid>
      <w:tr w:rsidR="007D4BA9">
        <w:tc>
          <w:tcPr>
            <w:tcW w:w="2438" w:type="dxa"/>
          </w:tcPr>
          <w:p w:rsidR="007D4BA9" w:rsidRDefault="007D4BA9">
            <w:pPr>
              <w:pStyle w:val="ConsPlusNormal"/>
              <w:jc w:val="center"/>
            </w:pPr>
            <w:r>
              <w:t>Назначение объектов</w:t>
            </w:r>
          </w:p>
        </w:tc>
        <w:tc>
          <w:tcPr>
            <w:tcW w:w="6576" w:type="dxa"/>
          </w:tcPr>
          <w:p w:rsidR="007D4BA9" w:rsidRDefault="007D4BA9">
            <w:pPr>
              <w:pStyle w:val="ConsPlusNormal"/>
              <w:jc w:val="center"/>
            </w:pPr>
            <w:r>
              <w:t>Состав объектов в границах планировочной единицы II уровня (жилой микрорайон)</w:t>
            </w:r>
          </w:p>
        </w:tc>
      </w:tr>
      <w:tr w:rsidR="007D4BA9">
        <w:tc>
          <w:tcPr>
            <w:tcW w:w="2438" w:type="dxa"/>
            <w:vMerge w:val="restart"/>
          </w:tcPr>
          <w:p w:rsidR="007D4BA9" w:rsidRDefault="007D4BA9">
            <w:pPr>
              <w:pStyle w:val="ConsPlusNormal"/>
              <w:jc w:val="center"/>
            </w:pPr>
            <w:r>
              <w:t>Объекты учебно-образовательного назначения</w:t>
            </w:r>
          </w:p>
        </w:tc>
        <w:tc>
          <w:tcPr>
            <w:tcW w:w="6576" w:type="dxa"/>
          </w:tcPr>
          <w:p w:rsidR="007D4BA9" w:rsidRDefault="007D4BA9">
            <w:pPr>
              <w:pStyle w:val="ConsPlusNormal"/>
              <w:jc w:val="both"/>
            </w:pPr>
            <w:r>
              <w:t>Дошкольные образовательные организации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Общеобразовательные школы</w:t>
            </w:r>
          </w:p>
        </w:tc>
      </w:tr>
      <w:tr w:rsidR="007D4BA9">
        <w:tc>
          <w:tcPr>
            <w:tcW w:w="2438" w:type="dxa"/>
            <w:vMerge w:val="restart"/>
          </w:tcPr>
          <w:p w:rsidR="007D4BA9" w:rsidRDefault="007D4BA9">
            <w:pPr>
              <w:pStyle w:val="ConsPlusNormal"/>
              <w:jc w:val="center"/>
            </w:pPr>
            <w:r>
              <w:t>Объекты здравоохранения и социального обеспечения</w:t>
            </w:r>
          </w:p>
        </w:tc>
        <w:tc>
          <w:tcPr>
            <w:tcW w:w="6576" w:type="dxa"/>
          </w:tcPr>
          <w:p w:rsidR="007D4BA9" w:rsidRDefault="007D4BA9">
            <w:pPr>
              <w:pStyle w:val="ConsPlusNormal"/>
              <w:jc w:val="both"/>
            </w:pPr>
            <w:r>
              <w:t>Раздаточные пункты молочных кухонь</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Аптеки</w:t>
            </w:r>
          </w:p>
        </w:tc>
      </w:tr>
      <w:tr w:rsidR="007D4BA9">
        <w:tc>
          <w:tcPr>
            <w:tcW w:w="2438" w:type="dxa"/>
            <w:vMerge w:val="restart"/>
          </w:tcPr>
          <w:p w:rsidR="007D4BA9" w:rsidRDefault="007D4BA9">
            <w:pPr>
              <w:pStyle w:val="ConsPlusNormal"/>
              <w:jc w:val="center"/>
            </w:pPr>
            <w:r>
              <w:lastRenderedPageBreak/>
              <w:t>Объекты торгово-бытового назначения</w:t>
            </w:r>
          </w:p>
        </w:tc>
        <w:tc>
          <w:tcPr>
            <w:tcW w:w="6576" w:type="dxa"/>
          </w:tcPr>
          <w:p w:rsidR="007D4BA9" w:rsidRDefault="007D4BA9">
            <w:pPr>
              <w:pStyle w:val="ConsPlusNormal"/>
              <w:jc w:val="both"/>
            </w:pPr>
            <w:r>
              <w:t>Магазины продовольственных товаров</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Магазины непродовольственных товаров</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Приемные пункты химчисток и прачечных</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Парикмахерские</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Ремонтные мастерские, приемные пункты мастерских, пункты проката</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Фотоуслуги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Ателье</w:t>
            </w:r>
          </w:p>
        </w:tc>
      </w:tr>
      <w:tr w:rsidR="007D4BA9">
        <w:tc>
          <w:tcPr>
            <w:tcW w:w="2438" w:type="dxa"/>
            <w:vMerge w:val="restart"/>
          </w:tcPr>
          <w:p w:rsidR="007D4BA9" w:rsidRDefault="007D4BA9">
            <w:pPr>
              <w:pStyle w:val="ConsPlusNormal"/>
              <w:jc w:val="center"/>
            </w:pPr>
            <w:r>
              <w:t>Иные объекты социальной инфраструктуры</w:t>
            </w:r>
          </w:p>
        </w:tc>
        <w:tc>
          <w:tcPr>
            <w:tcW w:w="6576" w:type="dxa"/>
          </w:tcPr>
          <w:p w:rsidR="007D4BA9" w:rsidRDefault="007D4BA9">
            <w:pPr>
              <w:pStyle w:val="ConsPlusNormal"/>
              <w:jc w:val="both"/>
            </w:pPr>
            <w:r>
              <w:t>Общественные уборные</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Отделения связи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Отделения банков, отделения и филиалы сберегательного банка</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Опорные пункты охраны порядка</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Жилищно-эксплуатационные организации</w:t>
            </w:r>
          </w:p>
        </w:tc>
      </w:tr>
    </w:tbl>
    <w:p w:rsidR="007D4BA9" w:rsidRDefault="007D4BA9">
      <w:pPr>
        <w:pStyle w:val="ConsPlusNormal"/>
        <w:jc w:val="both"/>
      </w:pPr>
    </w:p>
    <w:p w:rsidR="007D4BA9" w:rsidRDefault="007D4BA9">
      <w:pPr>
        <w:pStyle w:val="ConsPlusNormal"/>
        <w:jc w:val="right"/>
        <w:outlineLvl w:val="3"/>
      </w:pPr>
      <w:r>
        <w:t>Таблица 10</w:t>
      </w:r>
    </w:p>
    <w:p w:rsidR="007D4BA9" w:rsidRDefault="007D4BA9">
      <w:pPr>
        <w:pStyle w:val="ConsPlusNormal"/>
        <w:jc w:val="both"/>
      </w:pPr>
    </w:p>
    <w:p w:rsidR="007D4BA9" w:rsidRDefault="007D4BA9">
      <w:pPr>
        <w:pStyle w:val="ConsPlusTitle"/>
        <w:jc w:val="center"/>
      </w:pPr>
      <w:bookmarkStart w:id="11" w:name="P802"/>
      <w:bookmarkEnd w:id="11"/>
      <w:r>
        <w:t>Минимальный состав объектов общегородского значения</w:t>
      </w:r>
    </w:p>
    <w:p w:rsidR="007D4BA9" w:rsidRDefault="007D4BA9">
      <w:pPr>
        <w:pStyle w:val="ConsPlusTitle"/>
        <w:jc w:val="center"/>
      </w:pPr>
      <w:r>
        <w:t>различного назначения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38"/>
        <w:gridCol w:w="6576"/>
      </w:tblGrid>
      <w:tr w:rsidR="007D4BA9">
        <w:tc>
          <w:tcPr>
            <w:tcW w:w="2438" w:type="dxa"/>
          </w:tcPr>
          <w:p w:rsidR="007D4BA9" w:rsidRDefault="007D4BA9">
            <w:pPr>
              <w:pStyle w:val="ConsPlusNormal"/>
              <w:jc w:val="center"/>
            </w:pPr>
            <w:r>
              <w:t>Назначение объектов</w:t>
            </w:r>
          </w:p>
        </w:tc>
        <w:tc>
          <w:tcPr>
            <w:tcW w:w="6576" w:type="dxa"/>
          </w:tcPr>
          <w:p w:rsidR="007D4BA9" w:rsidRDefault="007D4BA9">
            <w:pPr>
              <w:pStyle w:val="ConsPlusNormal"/>
              <w:jc w:val="center"/>
            </w:pPr>
            <w:r>
              <w:t>Состав объектов в границах муниципального образования</w:t>
            </w:r>
          </w:p>
        </w:tc>
      </w:tr>
      <w:tr w:rsidR="007D4BA9">
        <w:tc>
          <w:tcPr>
            <w:tcW w:w="2438" w:type="dxa"/>
            <w:vMerge w:val="restart"/>
          </w:tcPr>
          <w:p w:rsidR="007D4BA9" w:rsidRDefault="007D4BA9">
            <w:pPr>
              <w:pStyle w:val="ConsPlusNormal"/>
              <w:jc w:val="center"/>
            </w:pPr>
            <w:r>
              <w:t>Объекты учебно-образовательного назначения</w:t>
            </w:r>
          </w:p>
        </w:tc>
        <w:tc>
          <w:tcPr>
            <w:tcW w:w="6576" w:type="dxa"/>
          </w:tcPr>
          <w:p w:rsidR="007D4BA9" w:rsidRDefault="007D4BA9">
            <w:pPr>
              <w:pStyle w:val="ConsPlusNormal"/>
              <w:jc w:val="both"/>
            </w:pPr>
            <w:r>
              <w:t>Школы-интернаты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Профессионально-технические учреждения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Высшие учебные заведения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Организации по переподготовке и повышению квалификации специалистов</w:t>
            </w:r>
          </w:p>
        </w:tc>
      </w:tr>
      <w:tr w:rsidR="007D4BA9">
        <w:tc>
          <w:tcPr>
            <w:tcW w:w="2438" w:type="dxa"/>
            <w:vMerge w:val="restart"/>
          </w:tcPr>
          <w:p w:rsidR="007D4BA9" w:rsidRDefault="007D4BA9">
            <w:pPr>
              <w:pStyle w:val="ConsPlusNormal"/>
              <w:jc w:val="center"/>
            </w:pPr>
            <w:r>
              <w:t>Объекты здравоохранения и социального обеспечения</w:t>
            </w:r>
          </w:p>
        </w:tc>
        <w:tc>
          <w:tcPr>
            <w:tcW w:w="6576" w:type="dxa"/>
          </w:tcPr>
          <w:p w:rsidR="007D4BA9" w:rsidRDefault="007D4BA9">
            <w:pPr>
              <w:pStyle w:val="ConsPlusNormal"/>
              <w:jc w:val="both"/>
            </w:pPr>
            <w:r>
              <w:t>Учреждения охраны материнства и детства</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Дома-интернаты для престарелых, ветеранов труда и войны, организуемые производственными объединениями, платные пансионаты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Объекты медико-социального обслуживания (хоспис, дом престарелых)</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Стационары для взрослых и детей со вспомогательными зданиями и сооружениями (для долговременного лечения)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Стационары для взрослых и детей со вспомогательными зданиями и сооружениями (для интенсивного лечения и кратковременного пребывания)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Диспансеры для взрослого и детского населения (кожно-венерологический, противотуберкулезный, психоневрологический, врачебно-физкультурный, наркологический, онкологический, кардиологический, эндокринологический и др.)</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Многопрофильные медицинские центры, специализированные клиники, в том числе кабинеты семейных врачей</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Дома-интернаты для взрослых маломобильных групп населения с физическими нарушениями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Детские дома-интернаты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Санатории-профилактории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Санаторные детские лагеря</w:t>
            </w:r>
          </w:p>
        </w:tc>
      </w:tr>
      <w:tr w:rsidR="007D4BA9">
        <w:tc>
          <w:tcPr>
            <w:tcW w:w="2438" w:type="dxa"/>
          </w:tcPr>
          <w:p w:rsidR="007D4BA9" w:rsidRDefault="007D4BA9">
            <w:pPr>
              <w:pStyle w:val="ConsPlusNormal"/>
              <w:jc w:val="center"/>
            </w:pPr>
            <w:r>
              <w:t>Объекты спортивного назначения</w:t>
            </w:r>
          </w:p>
        </w:tc>
        <w:tc>
          <w:tcPr>
            <w:tcW w:w="6576" w:type="dxa"/>
          </w:tcPr>
          <w:p w:rsidR="007D4BA9" w:rsidRDefault="007D4BA9">
            <w:pPr>
              <w:pStyle w:val="ConsPlusNormal"/>
              <w:jc w:val="both"/>
            </w:pPr>
            <w:r>
              <w:t>Специализированные спортивные сооружения</w:t>
            </w:r>
          </w:p>
        </w:tc>
      </w:tr>
      <w:tr w:rsidR="007D4BA9">
        <w:tc>
          <w:tcPr>
            <w:tcW w:w="2438" w:type="dxa"/>
            <w:vMerge w:val="restart"/>
          </w:tcPr>
          <w:p w:rsidR="007D4BA9" w:rsidRDefault="007D4BA9">
            <w:pPr>
              <w:pStyle w:val="ConsPlusNormal"/>
              <w:jc w:val="center"/>
            </w:pPr>
            <w:r>
              <w:t>Объекты культурно-досугового назначения</w:t>
            </w:r>
          </w:p>
        </w:tc>
        <w:tc>
          <w:tcPr>
            <w:tcW w:w="6576" w:type="dxa"/>
          </w:tcPr>
          <w:p w:rsidR="007D4BA9" w:rsidRDefault="007D4BA9">
            <w:pPr>
              <w:pStyle w:val="ConsPlusNormal"/>
              <w:jc w:val="both"/>
            </w:pPr>
            <w:r>
              <w:t>Музеи, галереи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Выставочные комплексы, центры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Культурно-досуговые учреждения (помещения для культурно-массовой работы, досуга и любительской деятельности)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Кинотеатры, в том числе многозальные</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Театры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Концертные залы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Цирки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Зоопарки, зверинцы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Культурные центры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Культурно-развлекательные комплексы</w:t>
            </w:r>
          </w:p>
        </w:tc>
      </w:tr>
      <w:tr w:rsidR="007D4BA9">
        <w:tc>
          <w:tcPr>
            <w:tcW w:w="2438" w:type="dxa"/>
            <w:vMerge w:val="restart"/>
          </w:tcPr>
          <w:p w:rsidR="007D4BA9" w:rsidRDefault="007D4BA9">
            <w:pPr>
              <w:pStyle w:val="ConsPlusNormal"/>
              <w:jc w:val="center"/>
            </w:pPr>
            <w:r>
              <w:t>Объекты отдыха и туризма</w:t>
            </w:r>
          </w:p>
        </w:tc>
        <w:tc>
          <w:tcPr>
            <w:tcW w:w="6576" w:type="dxa"/>
          </w:tcPr>
          <w:p w:rsidR="007D4BA9" w:rsidRDefault="007D4BA9">
            <w:pPr>
              <w:pStyle w:val="ConsPlusNormal"/>
              <w:jc w:val="both"/>
            </w:pPr>
            <w:r>
              <w:t>Дома отдыха (пансионаты), в том числе для отдыха с детьми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Детские лагеря, оздоровительные лагеря для старшеклассников</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Туристские базы, в том числе для отдыха с детьми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Гостиницы, отели, хостелы (в том числе туристские)</w:t>
            </w:r>
          </w:p>
        </w:tc>
      </w:tr>
      <w:tr w:rsidR="007D4BA9">
        <w:tc>
          <w:tcPr>
            <w:tcW w:w="2438" w:type="dxa"/>
            <w:vMerge w:val="restart"/>
          </w:tcPr>
          <w:p w:rsidR="007D4BA9" w:rsidRDefault="007D4BA9">
            <w:pPr>
              <w:pStyle w:val="ConsPlusNormal"/>
              <w:jc w:val="center"/>
            </w:pPr>
            <w:r>
              <w:t>Объекты торгово-бытового назначения</w:t>
            </w:r>
          </w:p>
        </w:tc>
        <w:tc>
          <w:tcPr>
            <w:tcW w:w="6576" w:type="dxa"/>
          </w:tcPr>
          <w:p w:rsidR="007D4BA9" w:rsidRDefault="007D4BA9">
            <w:pPr>
              <w:pStyle w:val="ConsPlusNormal"/>
              <w:jc w:val="both"/>
            </w:pPr>
            <w:r>
              <w:t>Рыночные комплексы</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Магазины смешанного ассортимента</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Предприятия общественного питания</w:t>
            </w:r>
          </w:p>
        </w:tc>
      </w:tr>
      <w:tr w:rsidR="007D4BA9">
        <w:tc>
          <w:tcPr>
            <w:tcW w:w="2438" w:type="dxa"/>
            <w:vMerge w:val="restart"/>
          </w:tcPr>
          <w:p w:rsidR="007D4BA9" w:rsidRDefault="007D4BA9">
            <w:pPr>
              <w:pStyle w:val="ConsPlusNormal"/>
              <w:jc w:val="center"/>
            </w:pPr>
            <w:r>
              <w:t xml:space="preserve">Иные объекты социальной </w:t>
            </w:r>
            <w:r>
              <w:lastRenderedPageBreak/>
              <w:t>инфраструктуры</w:t>
            </w:r>
          </w:p>
        </w:tc>
        <w:tc>
          <w:tcPr>
            <w:tcW w:w="6576" w:type="dxa"/>
          </w:tcPr>
          <w:p w:rsidR="007D4BA9" w:rsidRDefault="007D4BA9">
            <w:pPr>
              <w:pStyle w:val="ConsPlusNormal"/>
              <w:jc w:val="both"/>
            </w:pPr>
            <w:r>
              <w:lastRenderedPageBreak/>
              <w:t>Кладбища традиционного захоронения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 xml:space="preserve">Кладбища </w:t>
            </w:r>
            <w:proofErr w:type="spellStart"/>
            <w:r>
              <w:t>урновых</w:t>
            </w:r>
            <w:proofErr w:type="spellEnd"/>
            <w:r>
              <w:t xml:space="preserve"> захоронений после кремации (включая </w:t>
            </w:r>
            <w:r>
              <w:lastRenderedPageBreak/>
              <w:t>колумбарии)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Культовые объекты (объекты религиозного назначения)</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Объекты, осуществляющие религиозную образовательную деятельность (воскресные школы, семинарии, духовные училища)</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Крематории</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Ветеринарные клиники с содержанием животных</w:t>
            </w:r>
          </w:p>
        </w:tc>
      </w:tr>
      <w:tr w:rsidR="007D4BA9">
        <w:tc>
          <w:tcPr>
            <w:tcW w:w="2438" w:type="dxa"/>
            <w:vMerge/>
          </w:tcPr>
          <w:p w:rsidR="007D4BA9" w:rsidRDefault="007D4BA9">
            <w:pPr>
              <w:pStyle w:val="ConsPlusNormal"/>
            </w:pPr>
          </w:p>
        </w:tc>
        <w:tc>
          <w:tcPr>
            <w:tcW w:w="6576" w:type="dxa"/>
          </w:tcPr>
          <w:p w:rsidR="007D4BA9" w:rsidRDefault="007D4BA9">
            <w:pPr>
              <w:pStyle w:val="ConsPlusNormal"/>
              <w:jc w:val="both"/>
            </w:pPr>
            <w:r>
              <w:t>Питомники домашних животных</w:t>
            </w:r>
          </w:p>
        </w:tc>
      </w:tr>
    </w:tbl>
    <w:p w:rsidR="007D4BA9" w:rsidRDefault="007D4BA9">
      <w:pPr>
        <w:pStyle w:val="ConsPlusNormal"/>
        <w:jc w:val="both"/>
      </w:pPr>
    </w:p>
    <w:p w:rsidR="007D4BA9" w:rsidRDefault="007D4BA9">
      <w:pPr>
        <w:pStyle w:val="ConsPlusNormal"/>
        <w:ind w:firstLine="540"/>
        <w:jc w:val="both"/>
      </w:pPr>
      <w:r>
        <w:t>122. На территориях малоэтажной жилой застройки состав объектов повседневного обслуживания может быть сокращен при условии обязательного размещения 100 процентов расчетного количества мест в дошкольных образовательных организациях и общеобразовательных школах, а также следующих видов объектов: спортивно-тренажерных залов, фельдшерских пунктов, аптек, объектов торгово-бытового назначения, отделений связи, отделений банка, пунктов охраны порядка исходя из численности и демографического состава населения и количества домовладений.</w:t>
      </w:r>
    </w:p>
    <w:p w:rsidR="007D4BA9" w:rsidRDefault="007D4BA9">
      <w:pPr>
        <w:pStyle w:val="ConsPlusNormal"/>
        <w:spacing w:before="220"/>
        <w:ind w:firstLine="540"/>
        <w:jc w:val="both"/>
      </w:pPr>
      <w:r>
        <w:t>123. Объекты социальной инфраструктуры на территориях малоэтажной жилой застройки проектируются исходя из расчета числа и вместимости объектов, а также исходя из необходимости удовлетворения потребностей различных социально-демографических групп населения, учитывая близость других объектов и организацию транспортных связей, предусматривая формирование общественных центров, во взаимосвязи с сетью улиц, дорог и пешеходных путей.</w:t>
      </w:r>
    </w:p>
    <w:p w:rsidR="007D4BA9" w:rsidRDefault="007D4BA9">
      <w:pPr>
        <w:pStyle w:val="ConsPlusNormal"/>
        <w:spacing w:before="220"/>
        <w:ind w:firstLine="540"/>
        <w:jc w:val="both"/>
      </w:pPr>
      <w:r>
        <w:t>124. Нормативные показатели градостроительного проектирования объектов социальной инфраструктуры включают:</w:t>
      </w:r>
    </w:p>
    <w:p w:rsidR="007D4BA9" w:rsidRDefault="007D4BA9">
      <w:pPr>
        <w:pStyle w:val="ConsPlusNormal"/>
        <w:spacing w:before="220"/>
        <w:ind w:firstLine="540"/>
        <w:jc w:val="both"/>
      </w:pPr>
      <w:r>
        <w:t>1) расчетные показатели максимально допустимого уровня территориальной доступности (радиусы обслуживания) от объектов, предоставляющих различные виды услуг, до мест нахождения, проживания различных групп населения (проживания, работы, концентрации дневного населения). Расчет радиуса обслуживания откладывается от территории земельного участка нормируемого объекта;</w:t>
      </w:r>
    </w:p>
    <w:p w:rsidR="007D4BA9" w:rsidRDefault="007D4BA9">
      <w:pPr>
        <w:pStyle w:val="ConsPlusNormal"/>
        <w:spacing w:before="220"/>
        <w:ind w:firstLine="540"/>
        <w:jc w:val="both"/>
      </w:pPr>
      <w:r>
        <w:t>2) расчетные показатели минимальной обеспеченности населения объектами социальной инфраструктуры;</w:t>
      </w:r>
    </w:p>
    <w:p w:rsidR="007D4BA9" w:rsidRDefault="007D4BA9">
      <w:pPr>
        <w:pStyle w:val="ConsPlusNormal"/>
        <w:spacing w:before="220"/>
        <w:ind w:firstLine="540"/>
        <w:jc w:val="both"/>
      </w:pPr>
      <w:r>
        <w:t>3) показатели обеспеченности объектов обслуживания общей площадью здания (для объектов нового строительства);</w:t>
      </w:r>
    </w:p>
    <w:p w:rsidR="007D4BA9" w:rsidRDefault="007D4BA9">
      <w:pPr>
        <w:pStyle w:val="ConsPlusNormal"/>
        <w:spacing w:before="220"/>
        <w:ind w:firstLine="540"/>
        <w:jc w:val="both"/>
      </w:pPr>
      <w:r>
        <w:t>4) размеры земельных участков объектов социальной инфраструктуры.</w:t>
      </w:r>
    </w:p>
    <w:p w:rsidR="007D4BA9" w:rsidRDefault="007D4BA9">
      <w:pPr>
        <w:pStyle w:val="ConsPlusNormal"/>
        <w:jc w:val="both"/>
      </w:pPr>
    </w:p>
    <w:p w:rsidR="007D4BA9" w:rsidRDefault="007D4BA9">
      <w:pPr>
        <w:pStyle w:val="ConsPlusTitle"/>
        <w:jc w:val="center"/>
        <w:outlineLvl w:val="2"/>
      </w:pPr>
      <w:r>
        <w:t>Глава 22. ОБЪЕКТЫ УЧЕБНО-ВОСПИТАТЕЛЬНОГО НАЗНАЧЕНИЯ.</w:t>
      </w:r>
    </w:p>
    <w:p w:rsidR="007D4BA9" w:rsidRDefault="007D4BA9">
      <w:pPr>
        <w:pStyle w:val="ConsPlusTitle"/>
        <w:jc w:val="center"/>
      </w:pPr>
      <w:r>
        <w:t>ДОШКОЛЬНЫЕ И ОБЩЕОБРАЗОВАТЕЛЬНЫЕ ОРГАНИЗАЦИИ</w:t>
      </w:r>
    </w:p>
    <w:p w:rsidR="007D4BA9" w:rsidRDefault="007D4BA9">
      <w:pPr>
        <w:pStyle w:val="ConsPlusNormal"/>
        <w:jc w:val="both"/>
      </w:pPr>
    </w:p>
    <w:p w:rsidR="007D4BA9" w:rsidRDefault="007D4BA9">
      <w:pPr>
        <w:pStyle w:val="ConsPlusNormal"/>
        <w:ind w:firstLine="540"/>
        <w:jc w:val="both"/>
      </w:pPr>
      <w:r>
        <w:t>125. Вместимость общеобразовательных организаций рассчитывается для обучения только в одну смену.</w:t>
      </w:r>
    </w:p>
    <w:p w:rsidR="007D4BA9" w:rsidRDefault="007D4BA9">
      <w:pPr>
        <w:pStyle w:val="ConsPlusNormal"/>
        <w:spacing w:before="220"/>
        <w:ind w:firstLine="540"/>
        <w:jc w:val="both"/>
      </w:pPr>
      <w:r>
        <w:t xml:space="preserve">126. Требования к территории общеобразовательных организаций следует принимать в соответствии с </w:t>
      </w:r>
      <w:hyperlink r:id="rId40">
        <w:r>
          <w:rPr>
            <w:color w:val="0000FF"/>
          </w:rPr>
          <w:t>постановлением</w:t>
        </w:r>
      </w:hyperlink>
      <w:r>
        <w:t xml:space="preserve"> Главного государственного санитарного врача РФ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7D4BA9" w:rsidRDefault="007D4BA9">
      <w:pPr>
        <w:pStyle w:val="ConsPlusNormal"/>
        <w:spacing w:before="220"/>
        <w:ind w:firstLine="540"/>
        <w:jc w:val="both"/>
      </w:pPr>
      <w:r>
        <w:lastRenderedPageBreak/>
        <w:t>127. Расчетные показатели минимально допустимого уровня обеспеченности и максимально допустимого уровня территориальной доступности ДОО и общеобразовательных организаций указаны в таблице 11.</w:t>
      </w:r>
    </w:p>
    <w:p w:rsidR="007D4BA9" w:rsidRDefault="007D4BA9">
      <w:pPr>
        <w:pStyle w:val="ConsPlusNormal"/>
        <w:jc w:val="both"/>
      </w:pPr>
    </w:p>
    <w:p w:rsidR="007D4BA9" w:rsidRDefault="007D4BA9">
      <w:pPr>
        <w:pStyle w:val="ConsPlusNormal"/>
        <w:jc w:val="right"/>
        <w:outlineLvl w:val="3"/>
      </w:pPr>
      <w:r>
        <w:t>Таблица 11</w:t>
      </w:r>
    </w:p>
    <w:p w:rsidR="007D4BA9" w:rsidRDefault="007D4BA9">
      <w:pPr>
        <w:pStyle w:val="ConsPlusNormal"/>
        <w:jc w:val="both"/>
      </w:pPr>
    </w:p>
    <w:p w:rsidR="007D4BA9" w:rsidRDefault="007D4BA9">
      <w:pPr>
        <w:pStyle w:val="ConsPlusTitle"/>
        <w:jc w:val="center"/>
      </w:pPr>
      <w:bookmarkStart w:id="12" w:name="P872"/>
      <w:bookmarkEnd w:id="12"/>
      <w:r>
        <w:t>Расчетные показатели минимально допустимого уровня</w:t>
      </w:r>
    </w:p>
    <w:p w:rsidR="007D4BA9" w:rsidRDefault="007D4BA9">
      <w:pPr>
        <w:pStyle w:val="ConsPlusTitle"/>
        <w:jc w:val="center"/>
      </w:pPr>
      <w:r>
        <w:t>обеспеченности и максимально допустимого уровня</w:t>
      </w:r>
    </w:p>
    <w:p w:rsidR="007D4BA9" w:rsidRDefault="007D4BA9">
      <w:pPr>
        <w:pStyle w:val="ConsPlusTitle"/>
        <w:jc w:val="center"/>
      </w:pPr>
      <w:r>
        <w:t>территориальной доступности ДОО и общеобразовательных</w:t>
      </w:r>
    </w:p>
    <w:p w:rsidR="007D4BA9" w:rsidRDefault="007D4BA9">
      <w:pPr>
        <w:pStyle w:val="ConsPlusTitle"/>
        <w:jc w:val="center"/>
      </w:pPr>
      <w:r>
        <w:t>организаций</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6"/>
        <w:gridCol w:w="2948"/>
        <w:gridCol w:w="3742"/>
      </w:tblGrid>
      <w:tr w:rsidR="007D4BA9">
        <w:tc>
          <w:tcPr>
            <w:tcW w:w="2326" w:type="dxa"/>
          </w:tcPr>
          <w:p w:rsidR="007D4BA9" w:rsidRDefault="007D4BA9">
            <w:pPr>
              <w:pStyle w:val="ConsPlusNormal"/>
              <w:jc w:val="center"/>
            </w:pPr>
            <w:r>
              <w:t>Нормируемый показатель</w:t>
            </w:r>
          </w:p>
        </w:tc>
        <w:tc>
          <w:tcPr>
            <w:tcW w:w="2948" w:type="dxa"/>
          </w:tcPr>
          <w:p w:rsidR="007D4BA9" w:rsidRDefault="007D4BA9">
            <w:pPr>
              <w:pStyle w:val="ConsPlusNormal"/>
              <w:jc w:val="center"/>
            </w:pPr>
            <w:r>
              <w:t>Расчетный показатель для ДОО</w:t>
            </w:r>
          </w:p>
        </w:tc>
        <w:tc>
          <w:tcPr>
            <w:tcW w:w="3742" w:type="dxa"/>
          </w:tcPr>
          <w:p w:rsidR="007D4BA9" w:rsidRDefault="007D4BA9">
            <w:pPr>
              <w:pStyle w:val="ConsPlusNormal"/>
              <w:jc w:val="center"/>
            </w:pPr>
            <w:r>
              <w:t xml:space="preserve">Расчетный показатель для общеобразовательных организаций (школ, школ с углубленным изучением предметов, лицеев, гимназий) </w:t>
            </w:r>
            <w:hyperlink w:anchor="P924">
              <w:r>
                <w:rPr>
                  <w:color w:val="0000FF"/>
                </w:rPr>
                <w:t>&lt;*&gt;</w:t>
              </w:r>
            </w:hyperlink>
          </w:p>
        </w:tc>
      </w:tr>
      <w:tr w:rsidR="007D4BA9">
        <w:tc>
          <w:tcPr>
            <w:tcW w:w="2326" w:type="dxa"/>
            <w:vMerge w:val="restart"/>
          </w:tcPr>
          <w:p w:rsidR="007D4BA9" w:rsidRDefault="007D4BA9">
            <w:pPr>
              <w:pStyle w:val="ConsPlusNormal"/>
              <w:jc w:val="both"/>
            </w:pPr>
            <w:r>
              <w:t>Радиус обслуживания, м</w:t>
            </w:r>
          </w:p>
        </w:tc>
        <w:tc>
          <w:tcPr>
            <w:tcW w:w="2948" w:type="dxa"/>
          </w:tcPr>
          <w:p w:rsidR="007D4BA9" w:rsidRDefault="007D4BA9">
            <w:pPr>
              <w:pStyle w:val="ConsPlusNormal"/>
              <w:jc w:val="both"/>
            </w:pPr>
            <w:r>
              <w:t>300 - при многоэтажной застройке</w:t>
            </w:r>
          </w:p>
        </w:tc>
        <w:tc>
          <w:tcPr>
            <w:tcW w:w="3742" w:type="dxa"/>
          </w:tcPr>
          <w:p w:rsidR="007D4BA9" w:rsidRDefault="007D4BA9">
            <w:pPr>
              <w:pStyle w:val="ConsPlusNormal"/>
              <w:jc w:val="both"/>
            </w:pPr>
            <w:r>
              <w:t>500 - при многоэтажной застройке</w:t>
            </w:r>
          </w:p>
        </w:tc>
      </w:tr>
      <w:tr w:rsidR="007D4BA9">
        <w:tc>
          <w:tcPr>
            <w:tcW w:w="2326" w:type="dxa"/>
            <w:vMerge/>
          </w:tcPr>
          <w:p w:rsidR="007D4BA9" w:rsidRDefault="007D4BA9">
            <w:pPr>
              <w:pStyle w:val="ConsPlusNormal"/>
            </w:pPr>
          </w:p>
        </w:tc>
        <w:tc>
          <w:tcPr>
            <w:tcW w:w="2948" w:type="dxa"/>
          </w:tcPr>
          <w:p w:rsidR="007D4BA9" w:rsidRDefault="007D4BA9">
            <w:pPr>
              <w:pStyle w:val="ConsPlusNormal"/>
              <w:jc w:val="both"/>
            </w:pPr>
            <w:r>
              <w:t>500 - при малоэтажной застройке с размером индивидуальных земельных участков менее 0,1 га</w:t>
            </w:r>
          </w:p>
        </w:tc>
        <w:tc>
          <w:tcPr>
            <w:tcW w:w="3742" w:type="dxa"/>
          </w:tcPr>
          <w:p w:rsidR="007D4BA9" w:rsidRDefault="007D4BA9">
            <w:pPr>
              <w:pStyle w:val="ConsPlusNormal"/>
              <w:jc w:val="both"/>
            </w:pPr>
            <w:r>
              <w:t>750 - при малоэтажной застройке с размером индивидуальных земельных участков менее 0,1 га</w:t>
            </w:r>
          </w:p>
        </w:tc>
      </w:tr>
      <w:tr w:rsidR="007D4BA9">
        <w:tc>
          <w:tcPr>
            <w:tcW w:w="2326" w:type="dxa"/>
            <w:vMerge/>
          </w:tcPr>
          <w:p w:rsidR="007D4BA9" w:rsidRDefault="007D4BA9">
            <w:pPr>
              <w:pStyle w:val="ConsPlusNormal"/>
            </w:pPr>
          </w:p>
        </w:tc>
        <w:tc>
          <w:tcPr>
            <w:tcW w:w="2948" w:type="dxa"/>
          </w:tcPr>
          <w:p w:rsidR="007D4BA9" w:rsidRDefault="007D4BA9">
            <w:pPr>
              <w:pStyle w:val="ConsPlusNormal"/>
              <w:jc w:val="both"/>
            </w:pPr>
            <w:r>
              <w:t>При формировании новых районов ИЖС с размером индивидуальных земельных участков более 0,1 га территориальная доступность ДОО определяется исходя из количества домовладений и расчета количества мест в ДОО</w:t>
            </w:r>
          </w:p>
        </w:tc>
        <w:tc>
          <w:tcPr>
            <w:tcW w:w="3742" w:type="dxa"/>
          </w:tcPr>
          <w:p w:rsidR="007D4BA9" w:rsidRDefault="007D4BA9">
            <w:pPr>
              <w:pStyle w:val="ConsPlusNormal"/>
              <w:jc w:val="both"/>
            </w:pPr>
            <w:r>
              <w:t>При формировании новых районов индивидуальной жилой застройки с размером индивидуальных земельных участков более 0,1 га территориальная доступность общеобразовательной организации определяется исходя из количества домовладений и расчета количества мест в общеобразовательной организации</w:t>
            </w:r>
          </w:p>
        </w:tc>
      </w:tr>
      <w:tr w:rsidR="007D4BA9">
        <w:tc>
          <w:tcPr>
            <w:tcW w:w="2326" w:type="dxa"/>
          </w:tcPr>
          <w:p w:rsidR="007D4BA9" w:rsidRDefault="007D4BA9">
            <w:pPr>
              <w:pStyle w:val="ConsPlusNormal"/>
              <w:jc w:val="both"/>
            </w:pPr>
            <w:r>
              <w:t>Количество мест на 10 тыс. кв. м общей площади</w:t>
            </w:r>
          </w:p>
        </w:tc>
        <w:tc>
          <w:tcPr>
            <w:tcW w:w="2948" w:type="dxa"/>
          </w:tcPr>
          <w:p w:rsidR="007D4BA9" w:rsidRDefault="007D4BA9">
            <w:pPr>
              <w:pStyle w:val="ConsPlusNormal"/>
              <w:jc w:val="center"/>
            </w:pPr>
            <w:r>
              <w:t>36</w:t>
            </w:r>
          </w:p>
        </w:tc>
        <w:tc>
          <w:tcPr>
            <w:tcW w:w="3742" w:type="dxa"/>
          </w:tcPr>
          <w:p w:rsidR="007D4BA9" w:rsidRDefault="007D4BA9">
            <w:pPr>
              <w:pStyle w:val="ConsPlusNormal"/>
              <w:jc w:val="center"/>
            </w:pPr>
            <w:r>
              <w:t>76</w:t>
            </w:r>
          </w:p>
        </w:tc>
      </w:tr>
      <w:tr w:rsidR="007D4BA9">
        <w:tc>
          <w:tcPr>
            <w:tcW w:w="2326" w:type="dxa"/>
          </w:tcPr>
          <w:p w:rsidR="007D4BA9" w:rsidRDefault="007D4BA9">
            <w:pPr>
              <w:pStyle w:val="ConsPlusNormal"/>
              <w:jc w:val="both"/>
            </w:pPr>
            <w:r>
              <w:t>Размеры земельных участков, кв. м общей площади на 1 место</w:t>
            </w:r>
          </w:p>
        </w:tc>
        <w:tc>
          <w:tcPr>
            <w:tcW w:w="2948" w:type="dxa"/>
          </w:tcPr>
          <w:p w:rsidR="007D4BA9" w:rsidRDefault="007D4BA9">
            <w:pPr>
              <w:pStyle w:val="ConsPlusNormal"/>
              <w:jc w:val="both"/>
            </w:pPr>
            <w:r>
              <w:t>при вместимости на 1 место: до 100 мест - 44 кв. м;</w:t>
            </w:r>
          </w:p>
          <w:p w:rsidR="007D4BA9" w:rsidRDefault="007D4BA9">
            <w:pPr>
              <w:pStyle w:val="ConsPlusNormal"/>
              <w:jc w:val="both"/>
            </w:pPr>
            <w:r>
              <w:t>свыше 100 - 38 кв. м</w:t>
            </w:r>
          </w:p>
          <w:p w:rsidR="007D4BA9" w:rsidRDefault="007D4BA9">
            <w:pPr>
              <w:pStyle w:val="ConsPlusNormal"/>
              <w:jc w:val="both"/>
            </w:pPr>
            <w:r>
              <w:t>Размеры земельных участков ДОО могут быть уменьшены на</w:t>
            </w:r>
          </w:p>
          <w:p w:rsidR="007D4BA9" w:rsidRDefault="007D4BA9">
            <w:pPr>
              <w:pStyle w:val="ConsPlusNormal"/>
              <w:jc w:val="both"/>
            </w:pPr>
            <w:r>
              <w:t xml:space="preserve">25 процентов в условиях существующей застройки только в том случае, если обеспечены требования к земельному участку дошкольной организации. Возможно сокращение площади участка нового </w:t>
            </w:r>
            <w:r>
              <w:lastRenderedPageBreak/>
              <w:t>строительства или реконструируемой ДОО в случае, если он граничит с озелененной территорией рекреационного назначения или находится на территории малоэтажной жилой застройки, а также если он располагается в условиях сложившейся плотности жилой застройки или на сложном рельефе</w:t>
            </w:r>
          </w:p>
        </w:tc>
        <w:tc>
          <w:tcPr>
            <w:tcW w:w="3742" w:type="dxa"/>
          </w:tcPr>
          <w:p w:rsidR="007D4BA9" w:rsidRDefault="007D4BA9">
            <w:pPr>
              <w:pStyle w:val="ConsPlusNormal"/>
              <w:jc w:val="both"/>
            </w:pPr>
            <w:r>
              <w:lastRenderedPageBreak/>
              <w:t>при вместимости на 1 место: 500 - 600 мест - 55 кв. м;</w:t>
            </w:r>
          </w:p>
          <w:p w:rsidR="007D4BA9" w:rsidRDefault="007D4BA9">
            <w:pPr>
              <w:pStyle w:val="ConsPlusNormal"/>
              <w:jc w:val="both"/>
            </w:pPr>
            <w:r>
              <w:t>600 - 800 мест - 45 кв. м;</w:t>
            </w:r>
          </w:p>
          <w:p w:rsidR="007D4BA9" w:rsidRDefault="007D4BA9">
            <w:pPr>
              <w:pStyle w:val="ConsPlusNormal"/>
              <w:jc w:val="both"/>
            </w:pPr>
            <w:r>
              <w:t>800 - 1100 мест - 36 кв. м;</w:t>
            </w:r>
          </w:p>
          <w:p w:rsidR="007D4BA9" w:rsidRDefault="007D4BA9">
            <w:pPr>
              <w:pStyle w:val="ConsPlusNormal"/>
              <w:jc w:val="both"/>
            </w:pPr>
            <w:r>
              <w:t>1100 - 1500 мест - 23 кв. м; более 1500 мест - 18 кв. м;</w:t>
            </w:r>
          </w:p>
          <w:p w:rsidR="007D4BA9" w:rsidRDefault="007D4BA9">
            <w:pPr>
              <w:pStyle w:val="ConsPlusNormal"/>
              <w:jc w:val="both"/>
            </w:pPr>
            <w:r>
              <w:t>более 2000 мест - 16 кв. м, но не менее 2,5 га.</w:t>
            </w:r>
          </w:p>
          <w:p w:rsidR="007D4BA9" w:rsidRDefault="007D4BA9">
            <w:pPr>
              <w:pStyle w:val="ConsPlusNormal"/>
              <w:jc w:val="both"/>
            </w:pPr>
            <w:r>
              <w:t xml:space="preserve">Размеры земельных участков общеобразовательных организаций могут быть уменьшены на 25 процентов в условиях существующей застройки только в том случае, если обеспечены требования к земельному </w:t>
            </w:r>
            <w:r>
              <w:lastRenderedPageBreak/>
              <w:t>участку общеобразовательной организации. Для выполнения программ учебного предмета</w:t>
            </w:r>
          </w:p>
          <w:p w:rsidR="007D4BA9" w:rsidRDefault="007D4BA9">
            <w:pPr>
              <w:pStyle w:val="ConsPlusNormal"/>
              <w:jc w:val="both"/>
            </w:pPr>
            <w:r>
              <w:t>"Физическая культура" допускается использовать спортивные сооружения (площадки, стадионы), расположенные вблизи учреждения и оборудованные в соответствии с санитарно-эпидемиологическими требованиями к устройству и содержанию мест для занятий по физической культуре и спорту</w:t>
            </w:r>
          </w:p>
        </w:tc>
      </w:tr>
      <w:tr w:rsidR="007D4BA9">
        <w:tc>
          <w:tcPr>
            <w:tcW w:w="2326" w:type="dxa"/>
          </w:tcPr>
          <w:p w:rsidR="007D4BA9" w:rsidRDefault="007D4BA9">
            <w:pPr>
              <w:pStyle w:val="ConsPlusNormal"/>
              <w:jc w:val="both"/>
            </w:pPr>
            <w:r>
              <w:lastRenderedPageBreak/>
              <w:t>Минимальные показатели вместимости, мест</w:t>
            </w:r>
          </w:p>
        </w:tc>
        <w:tc>
          <w:tcPr>
            <w:tcW w:w="2948" w:type="dxa"/>
          </w:tcPr>
          <w:p w:rsidR="007D4BA9" w:rsidRDefault="007D4BA9">
            <w:pPr>
              <w:pStyle w:val="ConsPlusNormal"/>
              <w:jc w:val="center"/>
            </w:pPr>
            <w:r>
              <w:t>50</w:t>
            </w:r>
          </w:p>
        </w:tc>
        <w:tc>
          <w:tcPr>
            <w:tcW w:w="3742" w:type="dxa"/>
          </w:tcPr>
          <w:p w:rsidR="007D4BA9" w:rsidRDefault="007D4BA9">
            <w:pPr>
              <w:pStyle w:val="ConsPlusNormal"/>
              <w:jc w:val="center"/>
            </w:pPr>
            <w:r>
              <w:t>-</w:t>
            </w:r>
          </w:p>
        </w:tc>
      </w:tr>
      <w:tr w:rsidR="007D4BA9">
        <w:tc>
          <w:tcPr>
            <w:tcW w:w="2326" w:type="dxa"/>
            <w:vMerge w:val="restart"/>
          </w:tcPr>
          <w:p w:rsidR="007D4BA9" w:rsidRDefault="007D4BA9">
            <w:pPr>
              <w:pStyle w:val="ConsPlusNormal"/>
              <w:jc w:val="both"/>
            </w:pPr>
            <w:r>
              <w:t>Максимальные показатели вместимости, мест</w:t>
            </w:r>
          </w:p>
        </w:tc>
        <w:tc>
          <w:tcPr>
            <w:tcW w:w="2948" w:type="dxa"/>
          </w:tcPr>
          <w:p w:rsidR="007D4BA9" w:rsidRDefault="007D4BA9">
            <w:pPr>
              <w:pStyle w:val="ConsPlusNormal"/>
              <w:jc w:val="both"/>
            </w:pPr>
            <w:r>
              <w:t>отдельно стоящие - 350</w:t>
            </w:r>
          </w:p>
        </w:tc>
        <w:tc>
          <w:tcPr>
            <w:tcW w:w="3742" w:type="dxa"/>
            <w:vMerge w:val="restart"/>
          </w:tcPr>
          <w:p w:rsidR="007D4BA9" w:rsidRDefault="007D4BA9">
            <w:pPr>
              <w:pStyle w:val="ConsPlusNormal"/>
              <w:jc w:val="center"/>
            </w:pPr>
            <w:r>
              <w:t>-</w:t>
            </w:r>
          </w:p>
        </w:tc>
      </w:tr>
      <w:tr w:rsidR="007D4BA9">
        <w:tc>
          <w:tcPr>
            <w:tcW w:w="2326" w:type="dxa"/>
            <w:vMerge/>
          </w:tcPr>
          <w:p w:rsidR="007D4BA9" w:rsidRDefault="007D4BA9">
            <w:pPr>
              <w:pStyle w:val="ConsPlusNormal"/>
            </w:pPr>
          </w:p>
        </w:tc>
        <w:tc>
          <w:tcPr>
            <w:tcW w:w="2948" w:type="dxa"/>
          </w:tcPr>
          <w:p w:rsidR="007D4BA9" w:rsidRDefault="007D4BA9">
            <w:pPr>
              <w:pStyle w:val="ConsPlusNormal"/>
              <w:jc w:val="both"/>
            </w:pPr>
            <w:r>
              <w:t>пристроенные к торцам жилых домов - 150</w:t>
            </w:r>
          </w:p>
        </w:tc>
        <w:tc>
          <w:tcPr>
            <w:tcW w:w="3742" w:type="dxa"/>
            <w:vMerge/>
          </w:tcPr>
          <w:p w:rsidR="007D4BA9" w:rsidRDefault="007D4BA9">
            <w:pPr>
              <w:pStyle w:val="ConsPlusNormal"/>
            </w:pPr>
          </w:p>
        </w:tc>
      </w:tr>
      <w:tr w:rsidR="007D4BA9">
        <w:tc>
          <w:tcPr>
            <w:tcW w:w="2326" w:type="dxa"/>
          </w:tcPr>
          <w:p w:rsidR="007D4BA9" w:rsidRDefault="007D4BA9">
            <w:pPr>
              <w:pStyle w:val="ConsPlusNormal"/>
              <w:jc w:val="both"/>
            </w:pPr>
            <w:r>
              <w:t xml:space="preserve">Удельный вес числа ДОО, в которых создана универсальная </w:t>
            </w:r>
            <w:proofErr w:type="spellStart"/>
            <w:r>
              <w:t>безбарьерная</w:t>
            </w:r>
            <w:proofErr w:type="spellEnd"/>
            <w:r>
              <w:t xml:space="preserve"> среда для инклюзивного образования детей-инвалидов, в общем числе организаций, проценты</w:t>
            </w:r>
          </w:p>
        </w:tc>
        <w:tc>
          <w:tcPr>
            <w:tcW w:w="2948" w:type="dxa"/>
          </w:tcPr>
          <w:p w:rsidR="007D4BA9" w:rsidRDefault="007D4BA9">
            <w:pPr>
              <w:pStyle w:val="ConsPlusNormal"/>
              <w:jc w:val="center"/>
            </w:pPr>
            <w:r>
              <w:t>20</w:t>
            </w:r>
          </w:p>
        </w:tc>
        <w:tc>
          <w:tcPr>
            <w:tcW w:w="3742" w:type="dxa"/>
          </w:tcPr>
          <w:p w:rsidR="007D4BA9" w:rsidRDefault="007D4BA9">
            <w:pPr>
              <w:pStyle w:val="ConsPlusNormal"/>
              <w:jc w:val="center"/>
            </w:pPr>
            <w:r>
              <w:t>25</w:t>
            </w:r>
          </w:p>
        </w:tc>
      </w:tr>
      <w:tr w:rsidR="007D4BA9">
        <w:tc>
          <w:tcPr>
            <w:tcW w:w="2326" w:type="dxa"/>
          </w:tcPr>
          <w:p w:rsidR="007D4BA9" w:rsidRDefault="007D4BA9">
            <w:pPr>
              <w:pStyle w:val="ConsPlusNormal"/>
              <w:jc w:val="both"/>
            </w:pPr>
            <w:r>
              <w:t>Требования к размещению образовательных организаций по отношению к красным линиям</w:t>
            </w:r>
          </w:p>
        </w:tc>
        <w:tc>
          <w:tcPr>
            <w:tcW w:w="6690" w:type="dxa"/>
            <w:gridSpan w:val="2"/>
          </w:tcPr>
          <w:p w:rsidR="007D4BA9" w:rsidRDefault="007D4BA9">
            <w:pPr>
              <w:pStyle w:val="ConsPlusNormal"/>
              <w:jc w:val="both"/>
            </w:pPr>
            <w:r>
              <w:t>Отступы от стен зданий образовательных организаций до красной линии магистральных улиц должны составлять не менее 25 м</w:t>
            </w:r>
          </w:p>
        </w:tc>
      </w:tr>
      <w:tr w:rsidR="007D4BA9">
        <w:tc>
          <w:tcPr>
            <w:tcW w:w="2326" w:type="dxa"/>
          </w:tcPr>
          <w:p w:rsidR="007D4BA9" w:rsidRDefault="007D4BA9">
            <w:pPr>
              <w:pStyle w:val="ConsPlusNormal"/>
              <w:jc w:val="both"/>
            </w:pPr>
            <w:r>
              <w:t>Требования к земельному участку по размещению инженерных сетей</w:t>
            </w:r>
          </w:p>
        </w:tc>
        <w:tc>
          <w:tcPr>
            <w:tcW w:w="6690" w:type="dxa"/>
            <w:gridSpan w:val="2"/>
          </w:tcPr>
          <w:p w:rsidR="007D4BA9" w:rsidRDefault="007D4BA9">
            <w:pPr>
              <w:pStyle w:val="ConsPlusNormal"/>
              <w:jc w:val="both"/>
            </w:pPr>
            <w:r>
              <w:t>Через территорию учебно-воспитательной организации не должны проходить транзитные инженерные коммуникации городского назначения: сети водоснабжения, канализации, теплоснабжения, энергоснабжения</w:t>
            </w:r>
          </w:p>
        </w:tc>
      </w:tr>
      <w:tr w:rsidR="007D4BA9">
        <w:tc>
          <w:tcPr>
            <w:tcW w:w="2326" w:type="dxa"/>
          </w:tcPr>
          <w:p w:rsidR="007D4BA9" w:rsidRDefault="007D4BA9">
            <w:pPr>
              <w:pStyle w:val="ConsPlusNormal"/>
              <w:jc w:val="both"/>
            </w:pPr>
            <w:r>
              <w:t>Проезды</w:t>
            </w:r>
          </w:p>
        </w:tc>
        <w:tc>
          <w:tcPr>
            <w:tcW w:w="2948" w:type="dxa"/>
          </w:tcPr>
          <w:p w:rsidR="007D4BA9" w:rsidRDefault="007D4BA9">
            <w:pPr>
              <w:pStyle w:val="ConsPlusNormal"/>
              <w:jc w:val="both"/>
            </w:pPr>
            <w:r>
              <w:t xml:space="preserve">Земельный участок ДОО должен быть обеспечен двумя въездами с пожарных подъездов шириной 6 м, которые выделяются красными линиями или путем установления публичных сервитутов. Конструкция дорожной одежды проездов для пожарной техники </w:t>
            </w:r>
            <w:r>
              <w:lastRenderedPageBreak/>
              <w:t>должна быть рассчитана на нагрузку от пожарных автомобилей</w:t>
            </w:r>
          </w:p>
        </w:tc>
        <w:tc>
          <w:tcPr>
            <w:tcW w:w="3742" w:type="dxa"/>
          </w:tcPr>
          <w:p w:rsidR="007D4BA9" w:rsidRDefault="007D4BA9">
            <w:pPr>
              <w:pStyle w:val="ConsPlusNormal"/>
              <w:jc w:val="both"/>
            </w:pPr>
            <w:r>
              <w:lastRenderedPageBreak/>
              <w:t xml:space="preserve">Земельный участок общеобразовательной организации должен быть обеспечен двумя въездами с пожарных подъездов шириной 6 м, которые выделяются красными линиями или путем установления публичных сервитутов. Конструкция дорожной одежды проездов для пожарной техники должна быть рассчитана на нагрузку </w:t>
            </w:r>
            <w:r>
              <w:lastRenderedPageBreak/>
              <w:t>от пожарных автомобилей. Пути подходов учащихся к общеобразовательным школам с начальными классами не должны пересекать проезжую часть магистральных улиц на одном уровне</w:t>
            </w:r>
          </w:p>
        </w:tc>
      </w:tr>
      <w:tr w:rsidR="007D4BA9">
        <w:tc>
          <w:tcPr>
            <w:tcW w:w="2326" w:type="dxa"/>
          </w:tcPr>
          <w:p w:rsidR="007D4BA9" w:rsidRDefault="007D4BA9">
            <w:pPr>
              <w:pStyle w:val="ConsPlusNormal"/>
              <w:jc w:val="both"/>
            </w:pPr>
            <w:r>
              <w:lastRenderedPageBreak/>
              <w:t>Расстояние до объектов розничной продажи алкогольной и табачной продукции</w:t>
            </w:r>
          </w:p>
        </w:tc>
        <w:tc>
          <w:tcPr>
            <w:tcW w:w="6690" w:type="dxa"/>
            <w:gridSpan w:val="2"/>
          </w:tcPr>
          <w:p w:rsidR="007D4BA9" w:rsidRDefault="007D4BA9">
            <w:pPr>
              <w:pStyle w:val="ConsPlusNormal"/>
              <w:jc w:val="both"/>
            </w:pPr>
            <w:r>
              <w:t>50 м - для объектов розничной продажи алкогольной продукции, 100 м - для объектов розничной продажи табачной продукции.</w:t>
            </w:r>
          </w:p>
          <w:p w:rsidR="007D4BA9" w:rsidRDefault="007D4BA9">
            <w:pPr>
              <w:pStyle w:val="ConsPlusNormal"/>
              <w:jc w:val="both"/>
            </w:pPr>
            <w:r>
              <w:t>Расстояние определяется по прямой линии без учета искусственных и естественных преград от ближайшей точки, граничащей с земельным участком объектов ДОО и общеобразовательных организаций</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13" w:name="P924"/>
      <w:bookmarkEnd w:id="13"/>
      <w:r>
        <w:t xml:space="preserve">&lt;*&gt; Расчетные показатели принимаются в соответствии с </w:t>
      </w:r>
      <w:hyperlink r:id="rId41">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1. ДОО и общеобразовательные организации, находящиеся в частной собственности, в расчет не включаются.</w:t>
      </w:r>
    </w:p>
    <w:p w:rsidR="007D4BA9" w:rsidRDefault="007D4BA9">
      <w:pPr>
        <w:pStyle w:val="ConsPlusNormal"/>
        <w:spacing w:before="220"/>
        <w:ind w:firstLine="540"/>
        <w:jc w:val="both"/>
      </w:pPr>
      <w:r>
        <w:t>2. При этапной застройке на реорганизуемой территории на основании проекта планировки территории в расчет обеспеченности ДОО в эскизном предложении жилого дома на первых этапах (до начала строительства муниципальных ДОО) разрешается включать частные ДОО. При этом до ввода в эксплуатацию ДОО, предусмотренных проектом планировки территории, не допускается изменение функционального назначения частной ДОО.</w:t>
      </w:r>
    </w:p>
    <w:p w:rsidR="007D4BA9" w:rsidRDefault="007D4BA9">
      <w:pPr>
        <w:pStyle w:val="ConsPlusNormal"/>
        <w:spacing w:before="220"/>
        <w:ind w:firstLine="540"/>
        <w:jc w:val="both"/>
      </w:pPr>
      <w:r>
        <w:t xml:space="preserve">3. Строительство объектов на территории существующих ДОО и образовательных организаций и реконструкция существующих ДОО и образовательных организаций, размеры земельных участков которых меньше установленных в </w:t>
      </w:r>
      <w:hyperlink w:anchor="P872">
        <w:r>
          <w:rPr>
            <w:color w:val="0000FF"/>
          </w:rPr>
          <w:t>таблице 11</w:t>
        </w:r>
      </w:hyperlink>
      <w:r>
        <w:t>, допускается при условии сохранения расчетного количества обучающихся (вместимости) или уменьшения такого количества, при соблюдении иных требований к проектированию и организации территории таких организаций.</w:t>
      </w:r>
    </w:p>
    <w:p w:rsidR="007D4BA9" w:rsidRDefault="007D4BA9">
      <w:pPr>
        <w:pStyle w:val="ConsPlusNormal"/>
        <w:jc w:val="both"/>
      </w:pPr>
    </w:p>
    <w:p w:rsidR="007D4BA9" w:rsidRDefault="007D4BA9">
      <w:pPr>
        <w:pStyle w:val="ConsPlusTitle"/>
        <w:jc w:val="center"/>
        <w:outlineLvl w:val="2"/>
      </w:pPr>
      <w:r>
        <w:t>Глава 23. ОБЪЕКТЫ ЗДРАВООХРАНЕНИЯ</w:t>
      </w:r>
    </w:p>
    <w:p w:rsidR="007D4BA9" w:rsidRDefault="007D4BA9">
      <w:pPr>
        <w:pStyle w:val="ConsPlusNormal"/>
        <w:jc w:val="both"/>
      </w:pPr>
    </w:p>
    <w:p w:rsidR="007D4BA9" w:rsidRDefault="007D4BA9">
      <w:pPr>
        <w:pStyle w:val="ConsPlusNormal"/>
        <w:ind w:firstLine="540"/>
        <w:jc w:val="both"/>
      </w:pPr>
      <w:r>
        <w:t>128. Для обеспечения безопасности жизнедеятельности и предоставления своевременной медицинской помощи в случае внезапных острых заболеваний, представляющих угрозу жизни пациента, размещение соответствующих объектов здравоохранения до жилых домов определяется исходя из того, что время ожидания бригады скорой медицинской помощи не должно превышать 15 минут, а также исходя из транспортной доступности (под транспортной доступностью понимается время передвижения на машине скорой помощи от станции скорой помощи до пациента).</w:t>
      </w:r>
    </w:p>
    <w:p w:rsidR="007D4BA9" w:rsidRDefault="007D4BA9">
      <w:pPr>
        <w:pStyle w:val="ConsPlusNormal"/>
        <w:spacing w:before="220"/>
        <w:ind w:firstLine="540"/>
        <w:jc w:val="both"/>
      </w:pPr>
      <w:r>
        <w:t>129. Расчетные показатели минимально допустимого уровня обеспеченности населения и максимально допустимого уровня территориальной доступности объектов здравоохранения приведены в таблице 12.</w:t>
      </w:r>
    </w:p>
    <w:p w:rsidR="007D4BA9" w:rsidRDefault="007D4BA9">
      <w:pPr>
        <w:pStyle w:val="ConsPlusNormal"/>
        <w:jc w:val="both"/>
      </w:pPr>
    </w:p>
    <w:p w:rsidR="007D4BA9" w:rsidRDefault="007D4BA9">
      <w:pPr>
        <w:pStyle w:val="ConsPlusNormal"/>
        <w:jc w:val="right"/>
        <w:outlineLvl w:val="3"/>
      </w:pPr>
      <w:r>
        <w:t>Таблица 12</w:t>
      </w:r>
    </w:p>
    <w:p w:rsidR="007D4BA9" w:rsidRDefault="007D4BA9">
      <w:pPr>
        <w:pStyle w:val="ConsPlusNormal"/>
        <w:jc w:val="both"/>
      </w:pPr>
    </w:p>
    <w:p w:rsidR="007D4BA9" w:rsidRDefault="007D4BA9">
      <w:pPr>
        <w:pStyle w:val="ConsPlusTitle"/>
        <w:jc w:val="center"/>
      </w:pPr>
      <w:bookmarkStart w:id="14" w:name="P938"/>
      <w:bookmarkEnd w:id="14"/>
      <w:r>
        <w:t>Расчетные показатели минимально допустимого уровня</w:t>
      </w:r>
    </w:p>
    <w:p w:rsidR="007D4BA9" w:rsidRDefault="007D4BA9">
      <w:pPr>
        <w:pStyle w:val="ConsPlusTitle"/>
        <w:jc w:val="center"/>
      </w:pPr>
      <w:r>
        <w:t>обеспеченности населения и максимально допустимого уровня</w:t>
      </w:r>
    </w:p>
    <w:p w:rsidR="007D4BA9" w:rsidRDefault="007D4BA9">
      <w:pPr>
        <w:pStyle w:val="ConsPlusTitle"/>
        <w:jc w:val="center"/>
      </w:pPr>
      <w:r>
        <w:t>территориальной доступности объектов здравоохранения</w:t>
      </w:r>
    </w:p>
    <w:p w:rsidR="007D4BA9" w:rsidRDefault="007D4BA9">
      <w:pPr>
        <w:pStyle w:val="ConsPlusNormal"/>
        <w:jc w:val="both"/>
      </w:pPr>
    </w:p>
    <w:p w:rsidR="007D4BA9" w:rsidRDefault="007D4BA9">
      <w:pPr>
        <w:pStyle w:val="ConsPlusNormal"/>
        <w:sectPr w:rsidR="007D4BA9" w:rsidSect="000E036F">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7"/>
        <w:gridCol w:w="1419"/>
        <w:gridCol w:w="1699"/>
        <w:gridCol w:w="1844"/>
        <w:gridCol w:w="1277"/>
        <w:gridCol w:w="1274"/>
        <w:gridCol w:w="1203"/>
      </w:tblGrid>
      <w:tr w:rsidR="007D4BA9">
        <w:tc>
          <w:tcPr>
            <w:tcW w:w="1697" w:type="dxa"/>
            <w:vMerge w:val="restart"/>
          </w:tcPr>
          <w:p w:rsidR="007D4BA9" w:rsidRDefault="007D4BA9">
            <w:pPr>
              <w:pStyle w:val="ConsPlusNormal"/>
              <w:jc w:val="center"/>
            </w:pPr>
            <w:r>
              <w:lastRenderedPageBreak/>
              <w:t>Объект</w:t>
            </w:r>
          </w:p>
        </w:tc>
        <w:tc>
          <w:tcPr>
            <w:tcW w:w="1419" w:type="dxa"/>
            <w:vMerge w:val="restart"/>
          </w:tcPr>
          <w:p w:rsidR="007D4BA9" w:rsidRDefault="007D4BA9">
            <w:pPr>
              <w:pStyle w:val="ConsPlusNormal"/>
              <w:jc w:val="center"/>
            </w:pPr>
            <w:r>
              <w:t xml:space="preserve">Радиус обслуживания, м </w:t>
            </w:r>
            <w:hyperlink w:anchor="P1058">
              <w:r>
                <w:rPr>
                  <w:color w:val="0000FF"/>
                </w:rPr>
                <w:t>&lt;*&gt;</w:t>
              </w:r>
            </w:hyperlink>
          </w:p>
        </w:tc>
        <w:tc>
          <w:tcPr>
            <w:tcW w:w="1699" w:type="dxa"/>
            <w:vMerge w:val="restart"/>
          </w:tcPr>
          <w:p w:rsidR="007D4BA9" w:rsidRDefault="007D4BA9">
            <w:pPr>
              <w:pStyle w:val="ConsPlusNormal"/>
              <w:jc w:val="center"/>
            </w:pPr>
            <w:r>
              <w:t xml:space="preserve">Расчетное количество населения в радиусе территориальной доступности, тыс. чел. </w:t>
            </w:r>
            <w:hyperlink w:anchor="P1058">
              <w:r>
                <w:rPr>
                  <w:color w:val="0000FF"/>
                </w:rPr>
                <w:t>&lt;*&gt;</w:t>
              </w:r>
            </w:hyperlink>
          </w:p>
        </w:tc>
        <w:tc>
          <w:tcPr>
            <w:tcW w:w="3121" w:type="dxa"/>
            <w:gridSpan w:val="2"/>
          </w:tcPr>
          <w:p w:rsidR="007D4BA9" w:rsidRDefault="007D4BA9">
            <w:pPr>
              <w:pStyle w:val="ConsPlusNormal"/>
              <w:jc w:val="center"/>
            </w:pPr>
            <w:r>
              <w:t xml:space="preserve">Расчетные показатели минимальной обеспеченности </w:t>
            </w:r>
            <w:hyperlink w:anchor="P1058">
              <w:r>
                <w:rPr>
                  <w:color w:val="0000FF"/>
                </w:rPr>
                <w:t>&lt;*&gt;</w:t>
              </w:r>
            </w:hyperlink>
          </w:p>
        </w:tc>
        <w:tc>
          <w:tcPr>
            <w:tcW w:w="1274" w:type="dxa"/>
            <w:vMerge w:val="restart"/>
          </w:tcPr>
          <w:p w:rsidR="007D4BA9" w:rsidRDefault="007D4BA9">
            <w:pPr>
              <w:pStyle w:val="ConsPlusNormal"/>
              <w:jc w:val="center"/>
            </w:pPr>
            <w:r>
              <w:t xml:space="preserve">Минимальные показатели обеспеченности общей площадью здания, кв. м общей площади на ед. изм. </w:t>
            </w:r>
            <w:hyperlink w:anchor="P1058">
              <w:r>
                <w:rPr>
                  <w:color w:val="0000FF"/>
                </w:rPr>
                <w:t>&lt;*&gt;</w:t>
              </w:r>
            </w:hyperlink>
          </w:p>
        </w:tc>
        <w:tc>
          <w:tcPr>
            <w:tcW w:w="1203" w:type="dxa"/>
            <w:vMerge w:val="restart"/>
          </w:tcPr>
          <w:p w:rsidR="007D4BA9" w:rsidRDefault="007D4BA9">
            <w:pPr>
              <w:pStyle w:val="ConsPlusNormal"/>
              <w:jc w:val="center"/>
            </w:pPr>
            <w:r>
              <w:t xml:space="preserve">Размеры земельных участков </w:t>
            </w:r>
            <w:hyperlink w:anchor="P1058">
              <w:r>
                <w:rPr>
                  <w:color w:val="0000FF"/>
                </w:rPr>
                <w:t>&lt;*&gt;</w:t>
              </w:r>
            </w:hyperlink>
          </w:p>
        </w:tc>
      </w:tr>
      <w:tr w:rsidR="007D4BA9">
        <w:tc>
          <w:tcPr>
            <w:tcW w:w="1697" w:type="dxa"/>
            <w:vMerge/>
          </w:tcPr>
          <w:p w:rsidR="007D4BA9" w:rsidRDefault="007D4BA9">
            <w:pPr>
              <w:pStyle w:val="ConsPlusNormal"/>
            </w:pPr>
          </w:p>
        </w:tc>
        <w:tc>
          <w:tcPr>
            <w:tcW w:w="1419" w:type="dxa"/>
            <w:vMerge/>
          </w:tcPr>
          <w:p w:rsidR="007D4BA9" w:rsidRDefault="007D4BA9">
            <w:pPr>
              <w:pStyle w:val="ConsPlusNormal"/>
            </w:pPr>
          </w:p>
        </w:tc>
        <w:tc>
          <w:tcPr>
            <w:tcW w:w="1699" w:type="dxa"/>
            <w:vMerge/>
          </w:tcPr>
          <w:p w:rsidR="007D4BA9" w:rsidRDefault="007D4BA9">
            <w:pPr>
              <w:pStyle w:val="ConsPlusNormal"/>
            </w:pPr>
          </w:p>
        </w:tc>
        <w:tc>
          <w:tcPr>
            <w:tcW w:w="1844" w:type="dxa"/>
          </w:tcPr>
          <w:p w:rsidR="007D4BA9" w:rsidRDefault="007D4BA9">
            <w:pPr>
              <w:pStyle w:val="ConsPlusNormal"/>
              <w:jc w:val="center"/>
            </w:pPr>
            <w:r>
              <w:t>на 10 тыс. кв. м общей площади квартир</w:t>
            </w:r>
          </w:p>
        </w:tc>
        <w:tc>
          <w:tcPr>
            <w:tcW w:w="1277" w:type="dxa"/>
          </w:tcPr>
          <w:p w:rsidR="007D4BA9" w:rsidRDefault="007D4BA9">
            <w:pPr>
              <w:pStyle w:val="ConsPlusNormal"/>
              <w:jc w:val="center"/>
            </w:pPr>
            <w:r>
              <w:t>на 100 домовладений ИЖС</w:t>
            </w:r>
          </w:p>
        </w:tc>
        <w:tc>
          <w:tcPr>
            <w:tcW w:w="1274" w:type="dxa"/>
            <w:vMerge/>
          </w:tcPr>
          <w:p w:rsidR="007D4BA9" w:rsidRDefault="007D4BA9">
            <w:pPr>
              <w:pStyle w:val="ConsPlusNormal"/>
            </w:pPr>
          </w:p>
        </w:tc>
        <w:tc>
          <w:tcPr>
            <w:tcW w:w="1203" w:type="dxa"/>
            <w:vMerge/>
          </w:tcPr>
          <w:p w:rsidR="007D4BA9" w:rsidRDefault="007D4BA9">
            <w:pPr>
              <w:pStyle w:val="ConsPlusNormal"/>
            </w:pPr>
          </w:p>
        </w:tc>
      </w:tr>
      <w:tr w:rsidR="007D4BA9">
        <w:tc>
          <w:tcPr>
            <w:tcW w:w="1697" w:type="dxa"/>
          </w:tcPr>
          <w:p w:rsidR="007D4BA9" w:rsidRDefault="007D4BA9">
            <w:pPr>
              <w:pStyle w:val="ConsPlusNormal"/>
              <w:jc w:val="both"/>
            </w:pPr>
            <w:r>
              <w:t>Физкультурно-оздоровительные комплексы жилых районов</w:t>
            </w:r>
          </w:p>
        </w:tc>
        <w:tc>
          <w:tcPr>
            <w:tcW w:w="1419" w:type="dxa"/>
          </w:tcPr>
          <w:p w:rsidR="007D4BA9" w:rsidRDefault="007D4BA9">
            <w:pPr>
              <w:pStyle w:val="ConsPlusNormal"/>
              <w:jc w:val="center"/>
            </w:pPr>
            <w:r>
              <w:t>1500</w:t>
            </w:r>
          </w:p>
        </w:tc>
        <w:tc>
          <w:tcPr>
            <w:tcW w:w="1699" w:type="dxa"/>
          </w:tcPr>
          <w:p w:rsidR="007D4BA9" w:rsidRDefault="007D4BA9">
            <w:pPr>
              <w:pStyle w:val="ConsPlusNormal"/>
              <w:jc w:val="both"/>
            </w:pPr>
            <w:r>
              <w:t>до 80</w:t>
            </w:r>
          </w:p>
          <w:p w:rsidR="007D4BA9" w:rsidRDefault="007D4BA9">
            <w:pPr>
              <w:pStyle w:val="ConsPlusNormal"/>
              <w:jc w:val="both"/>
            </w:pPr>
            <w:r>
              <w:t>30-минутная пешеходная доступность</w:t>
            </w:r>
          </w:p>
        </w:tc>
        <w:tc>
          <w:tcPr>
            <w:tcW w:w="1844" w:type="dxa"/>
          </w:tcPr>
          <w:p w:rsidR="007D4BA9" w:rsidRDefault="007D4BA9">
            <w:pPr>
              <w:pStyle w:val="ConsPlusNormal"/>
              <w:jc w:val="center"/>
            </w:pPr>
            <w:r>
              <w:t>-</w:t>
            </w:r>
          </w:p>
        </w:tc>
        <w:tc>
          <w:tcPr>
            <w:tcW w:w="1277" w:type="dxa"/>
          </w:tcPr>
          <w:p w:rsidR="007D4BA9" w:rsidRDefault="007D4BA9">
            <w:pPr>
              <w:pStyle w:val="ConsPlusNormal"/>
              <w:jc w:val="center"/>
            </w:pPr>
            <w:r>
              <w:t>-</w:t>
            </w:r>
          </w:p>
        </w:tc>
        <w:tc>
          <w:tcPr>
            <w:tcW w:w="1274" w:type="dxa"/>
          </w:tcPr>
          <w:p w:rsidR="007D4BA9" w:rsidRDefault="007D4BA9">
            <w:pPr>
              <w:pStyle w:val="ConsPlusNormal"/>
              <w:jc w:val="center"/>
            </w:pPr>
            <w:r>
              <w:t>-</w:t>
            </w:r>
          </w:p>
        </w:tc>
        <w:tc>
          <w:tcPr>
            <w:tcW w:w="1203" w:type="dxa"/>
          </w:tcPr>
          <w:p w:rsidR="007D4BA9" w:rsidRDefault="007D4BA9">
            <w:pPr>
              <w:pStyle w:val="ConsPlusNormal"/>
              <w:jc w:val="center"/>
            </w:pPr>
            <w:r>
              <w:t>-</w:t>
            </w:r>
          </w:p>
        </w:tc>
      </w:tr>
      <w:tr w:rsidR="007D4BA9">
        <w:tc>
          <w:tcPr>
            <w:tcW w:w="1697" w:type="dxa"/>
          </w:tcPr>
          <w:p w:rsidR="007D4BA9" w:rsidRDefault="007D4BA9">
            <w:pPr>
              <w:pStyle w:val="ConsPlusNormal"/>
            </w:pPr>
            <w:r>
              <w:t>Амбулаторно-поликлинические учреждения для взрослого населения</w:t>
            </w:r>
          </w:p>
        </w:tc>
        <w:tc>
          <w:tcPr>
            <w:tcW w:w="1419" w:type="dxa"/>
          </w:tcPr>
          <w:p w:rsidR="007D4BA9" w:rsidRDefault="007D4BA9">
            <w:pPr>
              <w:pStyle w:val="ConsPlusNormal"/>
              <w:jc w:val="center"/>
            </w:pPr>
            <w:r>
              <w:t>1000</w:t>
            </w:r>
          </w:p>
        </w:tc>
        <w:tc>
          <w:tcPr>
            <w:tcW w:w="1699" w:type="dxa"/>
          </w:tcPr>
          <w:p w:rsidR="007D4BA9" w:rsidRDefault="007D4BA9">
            <w:pPr>
              <w:pStyle w:val="ConsPlusNormal"/>
              <w:jc w:val="both"/>
            </w:pPr>
            <w:r>
              <w:t>до 60</w:t>
            </w:r>
          </w:p>
          <w:p w:rsidR="007D4BA9" w:rsidRDefault="007D4BA9">
            <w:pPr>
              <w:pStyle w:val="ConsPlusNormal"/>
              <w:jc w:val="both"/>
            </w:pPr>
            <w:r>
              <w:t>20-минутная пешеходная доступность</w:t>
            </w:r>
          </w:p>
        </w:tc>
        <w:tc>
          <w:tcPr>
            <w:tcW w:w="1844" w:type="dxa"/>
          </w:tcPr>
          <w:p w:rsidR="007D4BA9" w:rsidRDefault="007D4BA9">
            <w:pPr>
              <w:pStyle w:val="ConsPlusNormal"/>
            </w:pPr>
            <w:r>
              <w:t>6 посещений в смену</w:t>
            </w:r>
          </w:p>
        </w:tc>
        <w:tc>
          <w:tcPr>
            <w:tcW w:w="1277" w:type="dxa"/>
          </w:tcPr>
          <w:p w:rsidR="007D4BA9" w:rsidRDefault="007D4BA9">
            <w:pPr>
              <w:pStyle w:val="ConsPlusNormal"/>
            </w:pPr>
            <w:r>
              <w:t>4,4</w:t>
            </w:r>
          </w:p>
          <w:p w:rsidR="007D4BA9" w:rsidRDefault="007D4BA9">
            <w:pPr>
              <w:pStyle w:val="ConsPlusNormal"/>
            </w:pPr>
            <w:r>
              <w:t>посещения в смену</w:t>
            </w:r>
          </w:p>
        </w:tc>
        <w:tc>
          <w:tcPr>
            <w:tcW w:w="1274" w:type="dxa"/>
          </w:tcPr>
          <w:p w:rsidR="007D4BA9" w:rsidRDefault="007D4BA9">
            <w:pPr>
              <w:pStyle w:val="ConsPlusNormal"/>
            </w:pPr>
            <w:r>
              <w:t>15,2 кв. м общей площади на 1 посещение в смену</w:t>
            </w:r>
          </w:p>
        </w:tc>
        <w:tc>
          <w:tcPr>
            <w:tcW w:w="1203" w:type="dxa"/>
          </w:tcPr>
          <w:p w:rsidR="007D4BA9" w:rsidRDefault="007D4BA9">
            <w:pPr>
              <w:pStyle w:val="ConsPlusNormal"/>
              <w:jc w:val="both"/>
            </w:pPr>
            <w:r>
              <w:t>0,1 га на 100 посещений в смену, но не менее 0,3 га на объект</w:t>
            </w:r>
          </w:p>
        </w:tc>
      </w:tr>
      <w:tr w:rsidR="007D4BA9">
        <w:tc>
          <w:tcPr>
            <w:tcW w:w="1697" w:type="dxa"/>
          </w:tcPr>
          <w:p w:rsidR="007D4BA9" w:rsidRDefault="007D4BA9">
            <w:pPr>
              <w:pStyle w:val="ConsPlusNormal"/>
            </w:pPr>
            <w:r>
              <w:t>Амбулаторно-поликлинические учреждения для детского населения</w:t>
            </w:r>
          </w:p>
        </w:tc>
        <w:tc>
          <w:tcPr>
            <w:tcW w:w="1419" w:type="dxa"/>
          </w:tcPr>
          <w:p w:rsidR="007D4BA9" w:rsidRDefault="007D4BA9">
            <w:pPr>
              <w:pStyle w:val="ConsPlusNormal"/>
              <w:jc w:val="center"/>
            </w:pPr>
            <w:r>
              <w:t>1000</w:t>
            </w:r>
          </w:p>
        </w:tc>
        <w:tc>
          <w:tcPr>
            <w:tcW w:w="1699" w:type="dxa"/>
          </w:tcPr>
          <w:p w:rsidR="007D4BA9" w:rsidRDefault="007D4BA9">
            <w:pPr>
              <w:pStyle w:val="ConsPlusNormal"/>
              <w:jc w:val="both"/>
            </w:pPr>
            <w:r>
              <w:t>до 60</w:t>
            </w:r>
          </w:p>
          <w:p w:rsidR="007D4BA9" w:rsidRDefault="007D4BA9">
            <w:pPr>
              <w:pStyle w:val="ConsPlusNormal"/>
              <w:jc w:val="both"/>
            </w:pPr>
            <w:r>
              <w:t>20-минутная пешеходная доступность</w:t>
            </w:r>
          </w:p>
        </w:tc>
        <w:tc>
          <w:tcPr>
            <w:tcW w:w="1844" w:type="dxa"/>
          </w:tcPr>
          <w:p w:rsidR="007D4BA9" w:rsidRDefault="007D4BA9">
            <w:pPr>
              <w:pStyle w:val="ConsPlusNormal"/>
            </w:pPr>
            <w:r>
              <w:t>2 посещения в смену</w:t>
            </w:r>
          </w:p>
        </w:tc>
        <w:tc>
          <w:tcPr>
            <w:tcW w:w="1277" w:type="dxa"/>
          </w:tcPr>
          <w:p w:rsidR="007D4BA9" w:rsidRDefault="007D4BA9">
            <w:pPr>
              <w:pStyle w:val="ConsPlusNormal"/>
            </w:pPr>
            <w:r>
              <w:t>1,4</w:t>
            </w:r>
          </w:p>
          <w:p w:rsidR="007D4BA9" w:rsidRDefault="007D4BA9">
            <w:pPr>
              <w:pStyle w:val="ConsPlusNormal"/>
            </w:pPr>
            <w:r>
              <w:t>посещения в смену</w:t>
            </w:r>
          </w:p>
        </w:tc>
        <w:tc>
          <w:tcPr>
            <w:tcW w:w="1274" w:type="dxa"/>
          </w:tcPr>
          <w:p w:rsidR="007D4BA9" w:rsidRDefault="007D4BA9">
            <w:pPr>
              <w:pStyle w:val="ConsPlusNormal"/>
            </w:pPr>
            <w:r>
              <w:t>15 кв. м общей площади на 1 посещение в смену</w:t>
            </w:r>
          </w:p>
        </w:tc>
        <w:tc>
          <w:tcPr>
            <w:tcW w:w="1203" w:type="dxa"/>
          </w:tcPr>
          <w:p w:rsidR="007D4BA9" w:rsidRDefault="007D4BA9">
            <w:pPr>
              <w:pStyle w:val="ConsPlusNormal"/>
              <w:jc w:val="both"/>
            </w:pPr>
            <w:r>
              <w:t>0,1 га на 100 посещений в смену, но не менее 0,3 га на объект</w:t>
            </w:r>
          </w:p>
        </w:tc>
      </w:tr>
      <w:tr w:rsidR="007D4BA9">
        <w:tc>
          <w:tcPr>
            <w:tcW w:w="1697" w:type="dxa"/>
            <w:vMerge w:val="restart"/>
          </w:tcPr>
          <w:p w:rsidR="007D4BA9" w:rsidRDefault="007D4BA9">
            <w:pPr>
              <w:pStyle w:val="ConsPlusNormal"/>
            </w:pPr>
            <w:r>
              <w:t>Аптеки</w:t>
            </w:r>
          </w:p>
        </w:tc>
        <w:tc>
          <w:tcPr>
            <w:tcW w:w="1419" w:type="dxa"/>
          </w:tcPr>
          <w:p w:rsidR="007D4BA9" w:rsidRDefault="007D4BA9">
            <w:pPr>
              <w:pStyle w:val="ConsPlusNormal"/>
              <w:jc w:val="both"/>
            </w:pPr>
            <w:r>
              <w:t>500 - при многоэтажно</w:t>
            </w:r>
            <w:r>
              <w:lastRenderedPageBreak/>
              <w:t>й застройке</w:t>
            </w:r>
          </w:p>
        </w:tc>
        <w:tc>
          <w:tcPr>
            <w:tcW w:w="1699" w:type="dxa"/>
            <w:vMerge w:val="restart"/>
          </w:tcPr>
          <w:p w:rsidR="007D4BA9" w:rsidRDefault="007D4BA9">
            <w:pPr>
              <w:pStyle w:val="ConsPlusNormal"/>
              <w:jc w:val="both"/>
            </w:pPr>
            <w:r>
              <w:lastRenderedPageBreak/>
              <w:t>до 20</w:t>
            </w:r>
          </w:p>
          <w:p w:rsidR="007D4BA9" w:rsidRDefault="007D4BA9">
            <w:pPr>
              <w:pStyle w:val="ConsPlusNormal"/>
              <w:jc w:val="both"/>
            </w:pPr>
            <w:r>
              <w:t xml:space="preserve">10-минутная </w:t>
            </w:r>
            <w:r>
              <w:lastRenderedPageBreak/>
              <w:t>пешеходная доступность</w:t>
            </w:r>
          </w:p>
        </w:tc>
        <w:tc>
          <w:tcPr>
            <w:tcW w:w="1844" w:type="dxa"/>
            <w:vMerge w:val="restart"/>
          </w:tcPr>
          <w:p w:rsidR="007D4BA9" w:rsidRDefault="007D4BA9">
            <w:pPr>
              <w:pStyle w:val="ConsPlusNormal"/>
              <w:jc w:val="center"/>
            </w:pPr>
            <w:r>
              <w:lastRenderedPageBreak/>
              <w:t>8,9</w:t>
            </w:r>
          </w:p>
        </w:tc>
        <w:tc>
          <w:tcPr>
            <w:tcW w:w="1277" w:type="dxa"/>
            <w:vMerge w:val="restart"/>
          </w:tcPr>
          <w:p w:rsidR="007D4BA9" w:rsidRDefault="007D4BA9">
            <w:pPr>
              <w:pStyle w:val="ConsPlusNormal"/>
              <w:jc w:val="center"/>
            </w:pPr>
            <w:r>
              <w:t>6,4</w:t>
            </w:r>
          </w:p>
        </w:tc>
        <w:tc>
          <w:tcPr>
            <w:tcW w:w="1274" w:type="dxa"/>
            <w:vMerge w:val="restart"/>
          </w:tcPr>
          <w:p w:rsidR="007D4BA9" w:rsidRDefault="007D4BA9">
            <w:pPr>
              <w:pStyle w:val="ConsPlusNormal"/>
              <w:jc w:val="center"/>
            </w:pPr>
            <w:r>
              <w:t>-</w:t>
            </w:r>
          </w:p>
        </w:tc>
        <w:tc>
          <w:tcPr>
            <w:tcW w:w="1203" w:type="dxa"/>
            <w:vMerge w:val="restart"/>
          </w:tcPr>
          <w:p w:rsidR="007D4BA9" w:rsidRDefault="007D4BA9">
            <w:pPr>
              <w:pStyle w:val="ConsPlusNormal"/>
              <w:jc w:val="center"/>
            </w:pPr>
            <w:r>
              <w:t>-</w:t>
            </w:r>
          </w:p>
        </w:tc>
      </w:tr>
      <w:tr w:rsidR="007D4BA9">
        <w:tc>
          <w:tcPr>
            <w:tcW w:w="1697" w:type="dxa"/>
            <w:vMerge/>
          </w:tcPr>
          <w:p w:rsidR="007D4BA9" w:rsidRDefault="007D4BA9">
            <w:pPr>
              <w:pStyle w:val="ConsPlusNormal"/>
            </w:pPr>
          </w:p>
        </w:tc>
        <w:tc>
          <w:tcPr>
            <w:tcW w:w="1419" w:type="dxa"/>
          </w:tcPr>
          <w:p w:rsidR="007D4BA9" w:rsidRDefault="007D4BA9">
            <w:pPr>
              <w:pStyle w:val="ConsPlusNormal"/>
            </w:pPr>
            <w:r>
              <w:t>В ИЖС радиус обслуживания определяется исходя из количества домовладений с учетом расчетного количества населения</w:t>
            </w:r>
          </w:p>
        </w:tc>
        <w:tc>
          <w:tcPr>
            <w:tcW w:w="1699" w:type="dxa"/>
            <w:vMerge/>
          </w:tcPr>
          <w:p w:rsidR="007D4BA9" w:rsidRDefault="007D4BA9">
            <w:pPr>
              <w:pStyle w:val="ConsPlusNormal"/>
            </w:pPr>
          </w:p>
        </w:tc>
        <w:tc>
          <w:tcPr>
            <w:tcW w:w="1844" w:type="dxa"/>
            <w:vMerge/>
          </w:tcPr>
          <w:p w:rsidR="007D4BA9" w:rsidRDefault="007D4BA9">
            <w:pPr>
              <w:pStyle w:val="ConsPlusNormal"/>
            </w:pPr>
          </w:p>
        </w:tc>
        <w:tc>
          <w:tcPr>
            <w:tcW w:w="1277" w:type="dxa"/>
            <w:vMerge/>
          </w:tcPr>
          <w:p w:rsidR="007D4BA9" w:rsidRDefault="007D4BA9">
            <w:pPr>
              <w:pStyle w:val="ConsPlusNormal"/>
            </w:pPr>
          </w:p>
        </w:tc>
        <w:tc>
          <w:tcPr>
            <w:tcW w:w="1274" w:type="dxa"/>
            <w:vMerge/>
          </w:tcPr>
          <w:p w:rsidR="007D4BA9" w:rsidRDefault="007D4BA9">
            <w:pPr>
              <w:pStyle w:val="ConsPlusNormal"/>
            </w:pPr>
          </w:p>
        </w:tc>
        <w:tc>
          <w:tcPr>
            <w:tcW w:w="1203" w:type="dxa"/>
            <w:vMerge/>
          </w:tcPr>
          <w:p w:rsidR="007D4BA9" w:rsidRDefault="007D4BA9">
            <w:pPr>
              <w:pStyle w:val="ConsPlusNormal"/>
            </w:pPr>
          </w:p>
        </w:tc>
      </w:tr>
      <w:tr w:rsidR="007D4BA9">
        <w:tc>
          <w:tcPr>
            <w:tcW w:w="1697" w:type="dxa"/>
            <w:vMerge w:val="restart"/>
          </w:tcPr>
          <w:p w:rsidR="007D4BA9" w:rsidRDefault="007D4BA9">
            <w:pPr>
              <w:pStyle w:val="ConsPlusNormal"/>
            </w:pPr>
            <w:r>
              <w:t>Раздаточные пункты молочной кухни при застройке (для детей до 1 года)</w:t>
            </w:r>
          </w:p>
        </w:tc>
        <w:tc>
          <w:tcPr>
            <w:tcW w:w="1419" w:type="dxa"/>
          </w:tcPr>
          <w:p w:rsidR="007D4BA9" w:rsidRDefault="007D4BA9">
            <w:pPr>
              <w:pStyle w:val="ConsPlusNormal"/>
              <w:jc w:val="both"/>
            </w:pPr>
            <w:r>
              <w:t>500 - при многоэтажной застройке</w:t>
            </w:r>
          </w:p>
        </w:tc>
        <w:tc>
          <w:tcPr>
            <w:tcW w:w="1699" w:type="dxa"/>
            <w:vMerge w:val="restart"/>
          </w:tcPr>
          <w:p w:rsidR="007D4BA9" w:rsidRDefault="007D4BA9">
            <w:pPr>
              <w:pStyle w:val="ConsPlusNormal"/>
              <w:jc w:val="both"/>
            </w:pPr>
            <w:r>
              <w:t>до 20</w:t>
            </w:r>
          </w:p>
          <w:p w:rsidR="007D4BA9" w:rsidRDefault="007D4BA9">
            <w:pPr>
              <w:pStyle w:val="ConsPlusNormal"/>
              <w:jc w:val="both"/>
            </w:pPr>
            <w:r>
              <w:t>10-минутная пешеходная доступность</w:t>
            </w:r>
          </w:p>
        </w:tc>
        <w:tc>
          <w:tcPr>
            <w:tcW w:w="1844" w:type="dxa"/>
            <w:vMerge w:val="restart"/>
          </w:tcPr>
          <w:p w:rsidR="007D4BA9" w:rsidRDefault="007D4BA9">
            <w:pPr>
              <w:pStyle w:val="ConsPlusNormal"/>
            </w:pPr>
            <w:r>
              <w:t>4,2 кв. м общей площади</w:t>
            </w:r>
          </w:p>
        </w:tc>
        <w:tc>
          <w:tcPr>
            <w:tcW w:w="1277" w:type="dxa"/>
            <w:vMerge w:val="restart"/>
          </w:tcPr>
          <w:p w:rsidR="007D4BA9" w:rsidRDefault="007D4BA9">
            <w:pPr>
              <w:pStyle w:val="ConsPlusNormal"/>
            </w:pPr>
            <w:r>
              <w:t>3 кв. м общей площади</w:t>
            </w:r>
          </w:p>
        </w:tc>
        <w:tc>
          <w:tcPr>
            <w:tcW w:w="1274" w:type="dxa"/>
            <w:vMerge w:val="restart"/>
          </w:tcPr>
          <w:p w:rsidR="007D4BA9" w:rsidRDefault="007D4BA9">
            <w:pPr>
              <w:pStyle w:val="ConsPlusNormal"/>
            </w:pPr>
          </w:p>
        </w:tc>
        <w:tc>
          <w:tcPr>
            <w:tcW w:w="1203" w:type="dxa"/>
            <w:vMerge w:val="restart"/>
          </w:tcPr>
          <w:p w:rsidR="007D4BA9" w:rsidRDefault="007D4BA9">
            <w:pPr>
              <w:pStyle w:val="ConsPlusNormal"/>
            </w:pPr>
          </w:p>
        </w:tc>
      </w:tr>
      <w:tr w:rsidR="007D4BA9">
        <w:tc>
          <w:tcPr>
            <w:tcW w:w="1697" w:type="dxa"/>
            <w:vMerge/>
          </w:tcPr>
          <w:p w:rsidR="007D4BA9" w:rsidRDefault="007D4BA9">
            <w:pPr>
              <w:pStyle w:val="ConsPlusNormal"/>
            </w:pPr>
          </w:p>
        </w:tc>
        <w:tc>
          <w:tcPr>
            <w:tcW w:w="1419" w:type="dxa"/>
          </w:tcPr>
          <w:p w:rsidR="007D4BA9" w:rsidRDefault="007D4BA9">
            <w:pPr>
              <w:pStyle w:val="ConsPlusNormal"/>
            </w:pPr>
            <w:r>
              <w:t>В ИЖС радиус обслуживания определяется исходя из количества домовладений с учетом расчетного количества населения</w:t>
            </w:r>
          </w:p>
        </w:tc>
        <w:tc>
          <w:tcPr>
            <w:tcW w:w="1699" w:type="dxa"/>
            <w:vMerge/>
          </w:tcPr>
          <w:p w:rsidR="007D4BA9" w:rsidRDefault="007D4BA9">
            <w:pPr>
              <w:pStyle w:val="ConsPlusNormal"/>
            </w:pPr>
          </w:p>
        </w:tc>
        <w:tc>
          <w:tcPr>
            <w:tcW w:w="1844" w:type="dxa"/>
            <w:vMerge/>
          </w:tcPr>
          <w:p w:rsidR="007D4BA9" w:rsidRDefault="007D4BA9">
            <w:pPr>
              <w:pStyle w:val="ConsPlusNormal"/>
            </w:pPr>
          </w:p>
        </w:tc>
        <w:tc>
          <w:tcPr>
            <w:tcW w:w="1277" w:type="dxa"/>
            <w:vMerge/>
          </w:tcPr>
          <w:p w:rsidR="007D4BA9" w:rsidRDefault="007D4BA9">
            <w:pPr>
              <w:pStyle w:val="ConsPlusNormal"/>
            </w:pPr>
          </w:p>
        </w:tc>
        <w:tc>
          <w:tcPr>
            <w:tcW w:w="1274" w:type="dxa"/>
            <w:vMerge/>
          </w:tcPr>
          <w:p w:rsidR="007D4BA9" w:rsidRDefault="007D4BA9">
            <w:pPr>
              <w:pStyle w:val="ConsPlusNormal"/>
            </w:pPr>
          </w:p>
        </w:tc>
        <w:tc>
          <w:tcPr>
            <w:tcW w:w="1203" w:type="dxa"/>
            <w:vMerge/>
          </w:tcPr>
          <w:p w:rsidR="007D4BA9" w:rsidRDefault="007D4BA9">
            <w:pPr>
              <w:pStyle w:val="ConsPlusNormal"/>
            </w:pPr>
          </w:p>
        </w:tc>
      </w:tr>
      <w:tr w:rsidR="007D4BA9">
        <w:tc>
          <w:tcPr>
            <w:tcW w:w="1697" w:type="dxa"/>
          </w:tcPr>
          <w:p w:rsidR="007D4BA9" w:rsidRDefault="007D4BA9">
            <w:pPr>
              <w:pStyle w:val="ConsPlusNormal"/>
            </w:pPr>
            <w:r>
              <w:t xml:space="preserve">Стационарные учреждения для </w:t>
            </w:r>
            <w:r>
              <w:lastRenderedPageBreak/>
              <w:t>взрослого населения (многопрофильные больницы, специализированные стационары и медицинские центры)</w:t>
            </w:r>
          </w:p>
        </w:tc>
        <w:tc>
          <w:tcPr>
            <w:tcW w:w="1419" w:type="dxa"/>
          </w:tcPr>
          <w:p w:rsidR="007D4BA9" w:rsidRDefault="007D4BA9">
            <w:pPr>
              <w:pStyle w:val="ConsPlusNormal"/>
              <w:jc w:val="center"/>
            </w:pPr>
            <w:r>
              <w:lastRenderedPageBreak/>
              <w:t>10000</w:t>
            </w:r>
          </w:p>
        </w:tc>
        <w:tc>
          <w:tcPr>
            <w:tcW w:w="1699" w:type="dxa"/>
          </w:tcPr>
          <w:p w:rsidR="007D4BA9" w:rsidRDefault="007D4BA9">
            <w:pPr>
              <w:pStyle w:val="ConsPlusNormal"/>
            </w:pPr>
            <w:r>
              <w:t>до 80;</w:t>
            </w:r>
          </w:p>
          <w:p w:rsidR="007D4BA9" w:rsidRDefault="007D4BA9">
            <w:pPr>
              <w:pStyle w:val="ConsPlusNormal"/>
            </w:pPr>
            <w:r>
              <w:t xml:space="preserve">30-минутная </w:t>
            </w:r>
            <w:r>
              <w:lastRenderedPageBreak/>
              <w:t>транспортная доступность</w:t>
            </w:r>
          </w:p>
        </w:tc>
        <w:tc>
          <w:tcPr>
            <w:tcW w:w="1844" w:type="dxa"/>
          </w:tcPr>
          <w:p w:rsidR="007D4BA9" w:rsidRDefault="007D4BA9">
            <w:pPr>
              <w:pStyle w:val="ConsPlusNormal"/>
            </w:pPr>
            <w:r>
              <w:lastRenderedPageBreak/>
              <w:t>6 коек</w:t>
            </w:r>
          </w:p>
        </w:tc>
        <w:tc>
          <w:tcPr>
            <w:tcW w:w="1277" w:type="dxa"/>
          </w:tcPr>
          <w:p w:rsidR="007D4BA9" w:rsidRDefault="007D4BA9">
            <w:pPr>
              <w:pStyle w:val="ConsPlusNormal"/>
            </w:pPr>
            <w:r>
              <w:t>4,4 койки</w:t>
            </w:r>
          </w:p>
        </w:tc>
        <w:tc>
          <w:tcPr>
            <w:tcW w:w="1274" w:type="dxa"/>
          </w:tcPr>
          <w:p w:rsidR="007D4BA9" w:rsidRDefault="007D4BA9">
            <w:pPr>
              <w:pStyle w:val="ConsPlusNormal"/>
            </w:pPr>
            <w:r>
              <w:t xml:space="preserve">22,2 кв. м общей </w:t>
            </w:r>
            <w:r>
              <w:lastRenderedPageBreak/>
              <w:t>площади на 1 койку</w:t>
            </w:r>
          </w:p>
        </w:tc>
        <w:tc>
          <w:tcPr>
            <w:tcW w:w="1203" w:type="dxa"/>
            <w:vMerge w:val="restart"/>
          </w:tcPr>
          <w:p w:rsidR="007D4BA9" w:rsidRDefault="007D4BA9">
            <w:pPr>
              <w:pStyle w:val="ConsPlusNormal"/>
            </w:pPr>
            <w:r>
              <w:lastRenderedPageBreak/>
              <w:t>при вместимос</w:t>
            </w:r>
            <w:r>
              <w:lastRenderedPageBreak/>
              <w:t>ти: 50 коек - 300 кв. м на 1 койку; 150 коек - 200; 300 - 400 коек - 150; 500 - 600 коек - 100; 800 коек - 80; свыше 1000 коек - 60</w:t>
            </w:r>
          </w:p>
        </w:tc>
      </w:tr>
      <w:tr w:rsidR="007D4BA9">
        <w:tc>
          <w:tcPr>
            <w:tcW w:w="1697" w:type="dxa"/>
          </w:tcPr>
          <w:p w:rsidR="007D4BA9" w:rsidRDefault="007D4BA9">
            <w:pPr>
              <w:pStyle w:val="ConsPlusNormal"/>
            </w:pPr>
            <w:r>
              <w:lastRenderedPageBreak/>
              <w:t>Стационарные учреждения для детского населения (</w:t>
            </w:r>
            <w:proofErr w:type="spellStart"/>
            <w:r>
              <w:t>многопрофилные</w:t>
            </w:r>
            <w:proofErr w:type="spellEnd"/>
            <w:r>
              <w:t xml:space="preserve"> больницы, специализированные стационары)</w:t>
            </w:r>
          </w:p>
        </w:tc>
        <w:tc>
          <w:tcPr>
            <w:tcW w:w="1419" w:type="dxa"/>
          </w:tcPr>
          <w:p w:rsidR="007D4BA9" w:rsidRDefault="007D4BA9">
            <w:pPr>
              <w:pStyle w:val="ConsPlusNormal"/>
              <w:jc w:val="center"/>
            </w:pPr>
            <w:r>
              <w:t>10000</w:t>
            </w:r>
          </w:p>
        </w:tc>
        <w:tc>
          <w:tcPr>
            <w:tcW w:w="1699" w:type="dxa"/>
          </w:tcPr>
          <w:p w:rsidR="007D4BA9" w:rsidRDefault="007D4BA9">
            <w:pPr>
              <w:pStyle w:val="ConsPlusNormal"/>
            </w:pPr>
            <w:r>
              <w:t>до 80;</w:t>
            </w:r>
          </w:p>
          <w:p w:rsidR="007D4BA9" w:rsidRDefault="007D4BA9">
            <w:pPr>
              <w:pStyle w:val="ConsPlusNormal"/>
            </w:pPr>
            <w:r>
              <w:t>30-минутная транспортная доступность</w:t>
            </w:r>
          </w:p>
        </w:tc>
        <w:tc>
          <w:tcPr>
            <w:tcW w:w="1844" w:type="dxa"/>
          </w:tcPr>
          <w:p w:rsidR="007D4BA9" w:rsidRDefault="007D4BA9">
            <w:pPr>
              <w:pStyle w:val="ConsPlusNormal"/>
            </w:pPr>
            <w:r>
              <w:t>2,4 койки</w:t>
            </w:r>
          </w:p>
        </w:tc>
        <w:tc>
          <w:tcPr>
            <w:tcW w:w="1277" w:type="dxa"/>
          </w:tcPr>
          <w:p w:rsidR="007D4BA9" w:rsidRDefault="007D4BA9">
            <w:pPr>
              <w:pStyle w:val="ConsPlusNormal"/>
            </w:pPr>
            <w:r>
              <w:t>1,7 койки</w:t>
            </w:r>
          </w:p>
        </w:tc>
        <w:tc>
          <w:tcPr>
            <w:tcW w:w="1274" w:type="dxa"/>
          </w:tcPr>
          <w:p w:rsidR="007D4BA9" w:rsidRDefault="007D4BA9">
            <w:pPr>
              <w:pStyle w:val="ConsPlusNormal"/>
            </w:pPr>
            <w:r>
              <w:t>45,2 кв. м общей площади на 1 койку</w:t>
            </w:r>
          </w:p>
        </w:tc>
        <w:tc>
          <w:tcPr>
            <w:tcW w:w="1203" w:type="dxa"/>
            <w:vMerge/>
          </w:tcPr>
          <w:p w:rsidR="007D4BA9" w:rsidRDefault="007D4BA9">
            <w:pPr>
              <w:pStyle w:val="ConsPlusNormal"/>
            </w:pPr>
          </w:p>
        </w:tc>
      </w:tr>
      <w:tr w:rsidR="007D4BA9">
        <w:tc>
          <w:tcPr>
            <w:tcW w:w="1697" w:type="dxa"/>
          </w:tcPr>
          <w:p w:rsidR="007D4BA9" w:rsidRDefault="007D4BA9">
            <w:pPr>
              <w:pStyle w:val="ConsPlusNormal"/>
            </w:pPr>
            <w:r>
              <w:t>Диспансеры для взрослого и детского населения (кожно-венерологический, противотуберкулезный, психоневрологический, врачебно-физкультурный, наркологически</w:t>
            </w:r>
            <w:r>
              <w:lastRenderedPageBreak/>
              <w:t>й, онкологический, кардиологический, эндокринологический)</w:t>
            </w:r>
          </w:p>
        </w:tc>
        <w:tc>
          <w:tcPr>
            <w:tcW w:w="1419" w:type="dxa"/>
          </w:tcPr>
          <w:p w:rsidR="007D4BA9" w:rsidRDefault="007D4BA9">
            <w:pPr>
              <w:pStyle w:val="ConsPlusNormal"/>
              <w:jc w:val="center"/>
            </w:pPr>
            <w:r>
              <w:lastRenderedPageBreak/>
              <w:t>10000</w:t>
            </w:r>
          </w:p>
        </w:tc>
        <w:tc>
          <w:tcPr>
            <w:tcW w:w="1699" w:type="dxa"/>
          </w:tcPr>
          <w:p w:rsidR="007D4BA9" w:rsidRDefault="007D4BA9">
            <w:pPr>
              <w:pStyle w:val="ConsPlusNormal"/>
            </w:pPr>
            <w:r>
              <w:t>до 80;</w:t>
            </w:r>
          </w:p>
          <w:p w:rsidR="007D4BA9" w:rsidRDefault="007D4BA9">
            <w:pPr>
              <w:pStyle w:val="ConsPlusNormal"/>
            </w:pPr>
            <w:r>
              <w:t>30-минутная транспортная доступность</w:t>
            </w:r>
          </w:p>
        </w:tc>
        <w:tc>
          <w:tcPr>
            <w:tcW w:w="1844" w:type="dxa"/>
          </w:tcPr>
          <w:p w:rsidR="007D4BA9" w:rsidRDefault="007D4BA9">
            <w:pPr>
              <w:pStyle w:val="ConsPlusNormal"/>
            </w:pPr>
            <w:r>
              <w:t>26,6 кв. м общей площади</w:t>
            </w:r>
          </w:p>
        </w:tc>
        <w:tc>
          <w:tcPr>
            <w:tcW w:w="1277" w:type="dxa"/>
          </w:tcPr>
          <w:p w:rsidR="007D4BA9" w:rsidRDefault="007D4BA9">
            <w:pPr>
              <w:pStyle w:val="ConsPlusNormal"/>
            </w:pPr>
            <w:r>
              <w:t>19,2 кв. м общей площади</w:t>
            </w:r>
          </w:p>
        </w:tc>
        <w:tc>
          <w:tcPr>
            <w:tcW w:w="1274" w:type="dxa"/>
          </w:tcPr>
          <w:p w:rsidR="007D4BA9" w:rsidRDefault="007D4BA9">
            <w:pPr>
              <w:pStyle w:val="ConsPlusNormal"/>
              <w:jc w:val="center"/>
            </w:pPr>
            <w:r>
              <w:t>-</w:t>
            </w:r>
          </w:p>
        </w:tc>
        <w:tc>
          <w:tcPr>
            <w:tcW w:w="1203" w:type="dxa"/>
          </w:tcPr>
          <w:p w:rsidR="007D4BA9" w:rsidRDefault="007D4BA9">
            <w:pPr>
              <w:pStyle w:val="ConsPlusNormal"/>
              <w:jc w:val="center"/>
            </w:pPr>
            <w:r>
              <w:t>-</w:t>
            </w:r>
          </w:p>
        </w:tc>
      </w:tr>
      <w:tr w:rsidR="007D4BA9">
        <w:tc>
          <w:tcPr>
            <w:tcW w:w="1697" w:type="dxa"/>
          </w:tcPr>
          <w:p w:rsidR="007D4BA9" w:rsidRDefault="007D4BA9">
            <w:pPr>
              <w:pStyle w:val="ConsPlusNormal"/>
            </w:pPr>
            <w:r>
              <w:lastRenderedPageBreak/>
              <w:t>Родильные дома</w:t>
            </w:r>
          </w:p>
        </w:tc>
        <w:tc>
          <w:tcPr>
            <w:tcW w:w="1419" w:type="dxa"/>
          </w:tcPr>
          <w:p w:rsidR="007D4BA9" w:rsidRDefault="007D4BA9">
            <w:pPr>
              <w:pStyle w:val="ConsPlusNormal"/>
              <w:jc w:val="center"/>
            </w:pPr>
            <w:r>
              <w:t>10000</w:t>
            </w:r>
          </w:p>
        </w:tc>
        <w:tc>
          <w:tcPr>
            <w:tcW w:w="1699" w:type="dxa"/>
          </w:tcPr>
          <w:p w:rsidR="007D4BA9" w:rsidRDefault="007D4BA9">
            <w:pPr>
              <w:pStyle w:val="ConsPlusNormal"/>
            </w:pPr>
            <w:r>
              <w:t>до 150;</w:t>
            </w:r>
          </w:p>
          <w:p w:rsidR="007D4BA9" w:rsidRDefault="007D4BA9">
            <w:pPr>
              <w:pStyle w:val="ConsPlusNormal"/>
            </w:pPr>
            <w:r>
              <w:t>30-минутная транспортная доступность</w:t>
            </w:r>
          </w:p>
        </w:tc>
        <w:tc>
          <w:tcPr>
            <w:tcW w:w="1844" w:type="dxa"/>
          </w:tcPr>
          <w:p w:rsidR="007D4BA9" w:rsidRDefault="007D4BA9">
            <w:pPr>
              <w:pStyle w:val="ConsPlusNormal"/>
            </w:pPr>
            <w:r>
              <w:t>0,38 места</w:t>
            </w:r>
          </w:p>
        </w:tc>
        <w:tc>
          <w:tcPr>
            <w:tcW w:w="1277" w:type="dxa"/>
          </w:tcPr>
          <w:p w:rsidR="007D4BA9" w:rsidRDefault="007D4BA9">
            <w:pPr>
              <w:pStyle w:val="ConsPlusNormal"/>
            </w:pPr>
            <w:r>
              <w:t>0,27 места</w:t>
            </w:r>
          </w:p>
        </w:tc>
        <w:tc>
          <w:tcPr>
            <w:tcW w:w="1274" w:type="dxa"/>
          </w:tcPr>
          <w:p w:rsidR="007D4BA9" w:rsidRDefault="007D4BA9">
            <w:pPr>
              <w:pStyle w:val="ConsPlusNormal"/>
              <w:jc w:val="center"/>
            </w:pPr>
            <w:r>
              <w:t>-</w:t>
            </w:r>
          </w:p>
        </w:tc>
        <w:tc>
          <w:tcPr>
            <w:tcW w:w="1203" w:type="dxa"/>
          </w:tcPr>
          <w:p w:rsidR="007D4BA9" w:rsidRDefault="007D4BA9">
            <w:pPr>
              <w:pStyle w:val="ConsPlusNormal"/>
              <w:jc w:val="center"/>
            </w:pPr>
            <w:r>
              <w:t>-</w:t>
            </w:r>
          </w:p>
        </w:tc>
      </w:tr>
      <w:tr w:rsidR="007D4BA9">
        <w:tc>
          <w:tcPr>
            <w:tcW w:w="1697" w:type="dxa"/>
          </w:tcPr>
          <w:p w:rsidR="007D4BA9" w:rsidRDefault="007D4BA9">
            <w:pPr>
              <w:pStyle w:val="ConsPlusNormal"/>
            </w:pPr>
            <w:r>
              <w:t>Женские консультации</w:t>
            </w:r>
          </w:p>
        </w:tc>
        <w:tc>
          <w:tcPr>
            <w:tcW w:w="1419" w:type="dxa"/>
          </w:tcPr>
          <w:p w:rsidR="007D4BA9" w:rsidRDefault="007D4BA9">
            <w:pPr>
              <w:pStyle w:val="ConsPlusNormal"/>
              <w:jc w:val="center"/>
            </w:pPr>
            <w:r>
              <w:t>1500</w:t>
            </w:r>
          </w:p>
        </w:tc>
        <w:tc>
          <w:tcPr>
            <w:tcW w:w="1699" w:type="dxa"/>
          </w:tcPr>
          <w:p w:rsidR="007D4BA9" w:rsidRDefault="007D4BA9">
            <w:pPr>
              <w:pStyle w:val="ConsPlusNormal"/>
              <w:jc w:val="both"/>
            </w:pPr>
            <w:r>
              <w:t>до 60</w:t>
            </w:r>
          </w:p>
          <w:p w:rsidR="007D4BA9" w:rsidRDefault="007D4BA9">
            <w:pPr>
              <w:pStyle w:val="ConsPlusNormal"/>
              <w:jc w:val="both"/>
            </w:pPr>
            <w:r>
              <w:t>30-минутная пешеходная Доступность</w:t>
            </w:r>
          </w:p>
        </w:tc>
        <w:tc>
          <w:tcPr>
            <w:tcW w:w="1844" w:type="dxa"/>
          </w:tcPr>
          <w:p w:rsidR="007D4BA9" w:rsidRDefault="007D4BA9">
            <w:pPr>
              <w:pStyle w:val="ConsPlusNormal"/>
            </w:pPr>
            <w:r>
              <w:t>4,4 посещения в смену</w:t>
            </w:r>
          </w:p>
        </w:tc>
        <w:tc>
          <w:tcPr>
            <w:tcW w:w="1277" w:type="dxa"/>
          </w:tcPr>
          <w:p w:rsidR="007D4BA9" w:rsidRDefault="007D4BA9">
            <w:pPr>
              <w:pStyle w:val="ConsPlusNormal"/>
            </w:pPr>
            <w:r>
              <w:t>3,2</w:t>
            </w:r>
          </w:p>
          <w:p w:rsidR="007D4BA9" w:rsidRDefault="007D4BA9">
            <w:pPr>
              <w:pStyle w:val="ConsPlusNormal"/>
            </w:pPr>
            <w:r>
              <w:t>посещения в смену</w:t>
            </w:r>
          </w:p>
        </w:tc>
        <w:tc>
          <w:tcPr>
            <w:tcW w:w="1274" w:type="dxa"/>
          </w:tcPr>
          <w:p w:rsidR="007D4BA9" w:rsidRDefault="007D4BA9">
            <w:pPr>
              <w:pStyle w:val="ConsPlusNormal"/>
              <w:jc w:val="center"/>
            </w:pPr>
            <w:r>
              <w:t>-</w:t>
            </w:r>
          </w:p>
        </w:tc>
        <w:tc>
          <w:tcPr>
            <w:tcW w:w="1203" w:type="dxa"/>
          </w:tcPr>
          <w:p w:rsidR="007D4BA9" w:rsidRDefault="007D4BA9">
            <w:pPr>
              <w:pStyle w:val="ConsPlusNormal"/>
            </w:pPr>
          </w:p>
        </w:tc>
      </w:tr>
      <w:tr w:rsidR="007D4BA9">
        <w:tc>
          <w:tcPr>
            <w:tcW w:w="1697" w:type="dxa"/>
          </w:tcPr>
          <w:p w:rsidR="007D4BA9" w:rsidRDefault="007D4BA9">
            <w:pPr>
              <w:pStyle w:val="ConsPlusNormal"/>
            </w:pPr>
            <w:r>
              <w:t>Станции скорой медицинской помощи</w:t>
            </w:r>
          </w:p>
        </w:tc>
        <w:tc>
          <w:tcPr>
            <w:tcW w:w="1419" w:type="dxa"/>
          </w:tcPr>
          <w:p w:rsidR="007D4BA9" w:rsidRDefault="007D4BA9">
            <w:pPr>
              <w:pStyle w:val="ConsPlusNormal"/>
              <w:jc w:val="center"/>
            </w:pPr>
            <w:r>
              <w:t>6000</w:t>
            </w:r>
          </w:p>
        </w:tc>
        <w:tc>
          <w:tcPr>
            <w:tcW w:w="1699" w:type="dxa"/>
          </w:tcPr>
          <w:p w:rsidR="007D4BA9" w:rsidRDefault="007D4BA9">
            <w:pPr>
              <w:pStyle w:val="ConsPlusNormal"/>
            </w:pPr>
            <w:r>
              <w:t>15-минутная доступность на специальном автомобиле</w:t>
            </w:r>
          </w:p>
        </w:tc>
        <w:tc>
          <w:tcPr>
            <w:tcW w:w="1844" w:type="dxa"/>
          </w:tcPr>
          <w:p w:rsidR="007D4BA9" w:rsidRDefault="007D4BA9">
            <w:pPr>
              <w:pStyle w:val="ConsPlusNormal"/>
            </w:pPr>
            <w:r>
              <w:t xml:space="preserve">0,04 </w:t>
            </w:r>
            <w:proofErr w:type="spellStart"/>
            <w:r>
              <w:t>машино</w:t>
            </w:r>
            <w:proofErr w:type="spellEnd"/>
            <w:r>
              <w:t>-места</w:t>
            </w:r>
          </w:p>
        </w:tc>
        <w:tc>
          <w:tcPr>
            <w:tcW w:w="1277" w:type="dxa"/>
          </w:tcPr>
          <w:p w:rsidR="007D4BA9" w:rsidRDefault="007D4BA9">
            <w:pPr>
              <w:pStyle w:val="ConsPlusNormal"/>
            </w:pPr>
            <w:r>
              <w:t>0,03</w:t>
            </w:r>
          </w:p>
          <w:p w:rsidR="007D4BA9" w:rsidRDefault="007D4BA9">
            <w:pPr>
              <w:pStyle w:val="ConsPlusNormal"/>
            </w:pPr>
            <w:proofErr w:type="spellStart"/>
            <w:r>
              <w:t>машино</w:t>
            </w:r>
            <w:proofErr w:type="spellEnd"/>
            <w:r>
              <w:t>-места</w:t>
            </w:r>
          </w:p>
        </w:tc>
        <w:tc>
          <w:tcPr>
            <w:tcW w:w="1274" w:type="dxa"/>
          </w:tcPr>
          <w:p w:rsidR="007D4BA9" w:rsidRDefault="007D4BA9">
            <w:pPr>
              <w:pStyle w:val="ConsPlusNormal"/>
              <w:jc w:val="center"/>
            </w:pPr>
            <w:r>
              <w:t>-</w:t>
            </w:r>
          </w:p>
        </w:tc>
        <w:tc>
          <w:tcPr>
            <w:tcW w:w="1203" w:type="dxa"/>
          </w:tcPr>
          <w:p w:rsidR="007D4BA9" w:rsidRDefault="007D4BA9">
            <w:pPr>
              <w:pStyle w:val="ConsPlusNormal"/>
              <w:jc w:val="both"/>
            </w:pPr>
            <w:r>
              <w:t>0,05 га, но не менее 0,1 га на объект</w:t>
            </w:r>
          </w:p>
        </w:tc>
      </w:tr>
      <w:tr w:rsidR="007D4BA9">
        <w:tc>
          <w:tcPr>
            <w:tcW w:w="1697" w:type="dxa"/>
          </w:tcPr>
          <w:p w:rsidR="007D4BA9" w:rsidRDefault="007D4BA9">
            <w:pPr>
              <w:pStyle w:val="ConsPlusNormal"/>
            </w:pPr>
            <w:r>
              <w:t>Санатории-профилактории</w:t>
            </w:r>
          </w:p>
        </w:tc>
        <w:tc>
          <w:tcPr>
            <w:tcW w:w="1419" w:type="dxa"/>
          </w:tcPr>
          <w:p w:rsidR="007D4BA9" w:rsidRDefault="007D4BA9">
            <w:pPr>
              <w:pStyle w:val="ConsPlusNormal"/>
              <w:jc w:val="center"/>
            </w:pPr>
            <w:r>
              <w:t>-</w:t>
            </w:r>
          </w:p>
        </w:tc>
        <w:tc>
          <w:tcPr>
            <w:tcW w:w="1699" w:type="dxa"/>
          </w:tcPr>
          <w:p w:rsidR="007D4BA9" w:rsidRDefault="007D4BA9">
            <w:pPr>
              <w:pStyle w:val="ConsPlusNormal"/>
              <w:jc w:val="center"/>
            </w:pPr>
            <w:r>
              <w:t>-</w:t>
            </w:r>
          </w:p>
        </w:tc>
        <w:tc>
          <w:tcPr>
            <w:tcW w:w="1844" w:type="dxa"/>
          </w:tcPr>
          <w:p w:rsidR="007D4BA9" w:rsidRDefault="007D4BA9">
            <w:pPr>
              <w:pStyle w:val="ConsPlusNormal"/>
            </w:pPr>
            <w:r>
              <w:t>0,13 места</w:t>
            </w:r>
          </w:p>
        </w:tc>
        <w:tc>
          <w:tcPr>
            <w:tcW w:w="1277" w:type="dxa"/>
          </w:tcPr>
          <w:p w:rsidR="007D4BA9" w:rsidRDefault="007D4BA9">
            <w:pPr>
              <w:pStyle w:val="ConsPlusNormal"/>
            </w:pPr>
            <w:r>
              <w:t>0,09 места</w:t>
            </w:r>
          </w:p>
        </w:tc>
        <w:tc>
          <w:tcPr>
            <w:tcW w:w="1274" w:type="dxa"/>
          </w:tcPr>
          <w:p w:rsidR="007D4BA9" w:rsidRDefault="007D4BA9">
            <w:pPr>
              <w:pStyle w:val="ConsPlusNormal"/>
              <w:jc w:val="center"/>
            </w:pPr>
            <w:r>
              <w:t>-</w:t>
            </w:r>
          </w:p>
        </w:tc>
        <w:tc>
          <w:tcPr>
            <w:tcW w:w="1203" w:type="dxa"/>
          </w:tcPr>
          <w:p w:rsidR="007D4BA9" w:rsidRDefault="007D4BA9">
            <w:pPr>
              <w:pStyle w:val="ConsPlusNormal"/>
            </w:pPr>
            <w:r>
              <w:t>70 - 100 кв. м на место</w:t>
            </w:r>
          </w:p>
        </w:tc>
      </w:tr>
      <w:tr w:rsidR="007D4BA9">
        <w:tc>
          <w:tcPr>
            <w:tcW w:w="1697" w:type="dxa"/>
          </w:tcPr>
          <w:p w:rsidR="007D4BA9" w:rsidRDefault="007D4BA9">
            <w:pPr>
              <w:pStyle w:val="ConsPlusNormal"/>
            </w:pPr>
            <w:r>
              <w:t>Санаторные детские лагеря</w:t>
            </w:r>
          </w:p>
        </w:tc>
        <w:tc>
          <w:tcPr>
            <w:tcW w:w="1419" w:type="dxa"/>
          </w:tcPr>
          <w:p w:rsidR="007D4BA9" w:rsidRDefault="007D4BA9">
            <w:pPr>
              <w:pStyle w:val="ConsPlusNormal"/>
              <w:jc w:val="center"/>
            </w:pPr>
            <w:r>
              <w:t>-</w:t>
            </w:r>
          </w:p>
        </w:tc>
        <w:tc>
          <w:tcPr>
            <w:tcW w:w="1699" w:type="dxa"/>
          </w:tcPr>
          <w:p w:rsidR="007D4BA9" w:rsidRDefault="007D4BA9">
            <w:pPr>
              <w:pStyle w:val="ConsPlusNormal"/>
              <w:jc w:val="center"/>
            </w:pPr>
            <w:r>
              <w:t>-</w:t>
            </w:r>
          </w:p>
        </w:tc>
        <w:tc>
          <w:tcPr>
            <w:tcW w:w="1844" w:type="dxa"/>
          </w:tcPr>
          <w:p w:rsidR="007D4BA9" w:rsidRDefault="007D4BA9">
            <w:pPr>
              <w:pStyle w:val="ConsPlusNormal"/>
            </w:pPr>
            <w:r>
              <w:t>0,3 места</w:t>
            </w:r>
          </w:p>
        </w:tc>
        <w:tc>
          <w:tcPr>
            <w:tcW w:w="1277" w:type="dxa"/>
          </w:tcPr>
          <w:p w:rsidR="007D4BA9" w:rsidRDefault="007D4BA9">
            <w:pPr>
              <w:pStyle w:val="ConsPlusNormal"/>
            </w:pPr>
            <w:r>
              <w:t>0,2 места</w:t>
            </w:r>
          </w:p>
        </w:tc>
        <w:tc>
          <w:tcPr>
            <w:tcW w:w="1274" w:type="dxa"/>
          </w:tcPr>
          <w:p w:rsidR="007D4BA9" w:rsidRDefault="007D4BA9">
            <w:pPr>
              <w:pStyle w:val="ConsPlusNormal"/>
              <w:jc w:val="center"/>
            </w:pPr>
            <w:r>
              <w:t>-</w:t>
            </w:r>
          </w:p>
        </w:tc>
        <w:tc>
          <w:tcPr>
            <w:tcW w:w="1203" w:type="dxa"/>
          </w:tcPr>
          <w:p w:rsidR="007D4BA9" w:rsidRDefault="007D4BA9">
            <w:pPr>
              <w:pStyle w:val="ConsPlusNormal"/>
            </w:pPr>
            <w:r>
              <w:t>200 кв. м на место</w:t>
            </w:r>
          </w:p>
        </w:tc>
      </w:tr>
    </w:tbl>
    <w:p w:rsidR="007D4BA9" w:rsidRDefault="007D4BA9">
      <w:pPr>
        <w:pStyle w:val="ConsPlusNormal"/>
        <w:sectPr w:rsidR="007D4BA9">
          <w:pgSz w:w="16838" w:h="11905" w:orient="landscape"/>
          <w:pgMar w:top="1701" w:right="1134" w:bottom="850" w:left="1134" w:header="0" w:footer="0" w:gutter="0"/>
          <w:cols w:space="720"/>
          <w:titlePg/>
        </w:sectPr>
      </w:pPr>
    </w:p>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15" w:name="P1058"/>
      <w:bookmarkEnd w:id="15"/>
      <w:r>
        <w:t xml:space="preserve">&lt;*&gt; Расчетные показатели принимаются в соответствии с </w:t>
      </w:r>
      <w:hyperlink r:id="rId42">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1. В условиях стесненной городской застройки, а также в стационарах, не имеющих в своем составе палатных отделений восстановительного лечения и ухода, допускается уменьшение площади участка в пределах 10 - 15 процентов от нормируемой за счет сокращения доли зеленых насаждений и размеров садово-парковой зоны.</w:t>
      </w:r>
    </w:p>
    <w:p w:rsidR="007D4BA9" w:rsidRDefault="007D4BA9">
      <w:pPr>
        <w:pStyle w:val="ConsPlusNormal"/>
        <w:spacing w:before="220"/>
        <w:ind w:firstLine="540"/>
        <w:jc w:val="both"/>
      </w:pPr>
      <w:r>
        <w:t xml:space="preserve">2. В условиях существующей застройки норма по минимальному показателю обеспеченности общей площадью зданий и размерам земельных участков, указанная в </w:t>
      </w:r>
      <w:hyperlink w:anchor="P938">
        <w:r>
          <w:rPr>
            <w:color w:val="0000FF"/>
          </w:rPr>
          <w:t>таблице 12</w:t>
        </w:r>
      </w:hyperlink>
      <w:r>
        <w:t>, носит рекомендательный характер при условии обеспечения иных требований к объекту.</w:t>
      </w:r>
    </w:p>
    <w:p w:rsidR="007D4BA9" w:rsidRDefault="007D4BA9">
      <w:pPr>
        <w:pStyle w:val="ConsPlusNormal"/>
        <w:spacing w:before="220"/>
        <w:ind w:firstLine="540"/>
        <w:jc w:val="both"/>
      </w:pPr>
      <w:r>
        <w:t>Территория лечебно-профилактических объектов должна быть благоустроена с учетом необходимости обеспечения лечебно-охранительного режима, озеленена, ограждена и освещена.</w:t>
      </w:r>
    </w:p>
    <w:p w:rsidR="007D4BA9" w:rsidRDefault="007D4BA9">
      <w:pPr>
        <w:pStyle w:val="ConsPlusNormal"/>
        <w:jc w:val="both"/>
      </w:pPr>
    </w:p>
    <w:p w:rsidR="007D4BA9" w:rsidRDefault="007D4BA9">
      <w:pPr>
        <w:pStyle w:val="ConsPlusNormal"/>
        <w:ind w:firstLine="540"/>
        <w:jc w:val="both"/>
      </w:pPr>
      <w:r>
        <w:t>130. Разрешается сокращение озеленения территории лечебно-профилактических объектов на 50 процентов при наличии озелененных территорий парков, скверов на смежных участках или на расстоянии не более 50 м от территории. В расчет озеленения, кроме газонов на поверхности земельного участка, включаются площадки отдыха, игровые площадки, дорожки, озелененные кровли, расположенные на уровне зрительного восприятия из окон палат, сады на крышах и зимние сады.</w:t>
      </w:r>
    </w:p>
    <w:p w:rsidR="007D4BA9" w:rsidRDefault="007D4BA9">
      <w:pPr>
        <w:pStyle w:val="ConsPlusNormal"/>
        <w:spacing w:before="220"/>
        <w:ind w:firstLine="540"/>
        <w:jc w:val="both"/>
      </w:pPr>
      <w:r>
        <w:t>131. Стоянки для служебного автомобильного транспорта сотрудников медицинских организаций и посетителей разрешается предусматривать на участке в удобной доступности до соответствующих входов в здания.</w:t>
      </w:r>
    </w:p>
    <w:p w:rsidR="007D4BA9" w:rsidRDefault="007D4BA9">
      <w:pPr>
        <w:pStyle w:val="ConsPlusNormal"/>
        <w:spacing w:before="220"/>
        <w:ind w:firstLine="540"/>
        <w:jc w:val="both"/>
      </w:pPr>
      <w:r>
        <w:t>132. На участке медицинской организации разрешается устройство надземных и подземных теплых стоянок для автомобилей персонала, посетителей, машин скорой помощи.</w:t>
      </w:r>
    </w:p>
    <w:p w:rsidR="007D4BA9" w:rsidRDefault="007D4BA9">
      <w:pPr>
        <w:pStyle w:val="ConsPlusNormal"/>
        <w:jc w:val="both"/>
      </w:pPr>
    </w:p>
    <w:p w:rsidR="007D4BA9" w:rsidRDefault="007D4BA9">
      <w:pPr>
        <w:pStyle w:val="ConsPlusTitle"/>
        <w:jc w:val="center"/>
        <w:outlineLvl w:val="2"/>
      </w:pPr>
      <w:r>
        <w:t>Глава 24. ОБЪЕКТЫ СОЦИАЛЬНОГО ОБЕСПЕЧЕНИЯ</w:t>
      </w:r>
    </w:p>
    <w:p w:rsidR="007D4BA9" w:rsidRDefault="007D4BA9">
      <w:pPr>
        <w:pStyle w:val="ConsPlusNormal"/>
        <w:jc w:val="both"/>
      </w:pPr>
    </w:p>
    <w:p w:rsidR="007D4BA9" w:rsidRDefault="007D4BA9">
      <w:pPr>
        <w:pStyle w:val="ConsPlusNormal"/>
        <w:ind w:firstLine="540"/>
        <w:jc w:val="both"/>
      </w:pPr>
      <w:r>
        <w:t>133. Расчетные показатели минимальной обеспеченности населения объектами социального обеспечения указаны в таблице 13.</w:t>
      </w:r>
    </w:p>
    <w:p w:rsidR="007D4BA9" w:rsidRDefault="007D4BA9">
      <w:pPr>
        <w:pStyle w:val="ConsPlusNormal"/>
        <w:jc w:val="both"/>
      </w:pPr>
    </w:p>
    <w:p w:rsidR="007D4BA9" w:rsidRDefault="007D4BA9">
      <w:pPr>
        <w:pStyle w:val="ConsPlusNormal"/>
        <w:jc w:val="right"/>
        <w:outlineLvl w:val="3"/>
      </w:pPr>
      <w:r>
        <w:t>Таблица 13</w:t>
      </w:r>
    </w:p>
    <w:p w:rsidR="007D4BA9" w:rsidRDefault="007D4BA9">
      <w:pPr>
        <w:pStyle w:val="ConsPlusNormal"/>
        <w:jc w:val="both"/>
      </w:pPr>
    </w:p>
    <w:p w:rsidR="007D4BA9" w:rsidRDefault="007D4BA9">
      <w:pPr>
        <w:pStyle w:val="ConsPlusTitle"/>
        <w:jc w:val="center"/>
      </w:pPr>
      <w:bookmarkStart w:id="16" w:name="P1075"/>
      <w:bookmarkEnd w:id="16"/>
      <w:r>
        <w:t>Расчетные показатели минимальной обеспеченности</w:t>
      </w:r>
    </w:p>
    <w:p w:rsidR="007D4BA9" w:rsidRDefault="007D4BA9">
      <w:pPr>
        <w:pStyle w:val="ConsPlusTitle"/>
        <w:jc w:val="center"/>
      </w:pPr>
      <w:r>
        <w:t>населения объектами социального обеспечения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98"/>
        <w:gridCol w:w="1077"/>
        <w:gridCol w:w="1191"/>
        <w:gridCol w:w="1132"/>
        <w:gridCol w:w="1561"/>
        <w:gridCol w:w="1984"/>
      </w:tblGrid>
      <w:tr w:rsidR="007D4BA9">
        <w:tc>
          <w:tcPr>
            <w:tcW w:w="2098" w:type="dxa"/>
            <w:vMerge w:val="restart"/>
          </w:tcPr>
          <w:p w:rsidR="007D4BA9" w:rsidRDefault="007D4BA9">
            <w:pPr>
              <w:pStyle w:val="ConsPlusNormal"/>
              <w:jc w:val="center"/>
            </w:pPr>
            <w:r>
              <w:t>Виды нормируемых объектов</w:t>
            </w:r>
          </w:p>
        </w:tc>
        <w:tc>
          <w:tcPr>
            <w:tcW w:w="1077" w:type="dxa"/>
            <w:vMerge w:val="restart"/>
          </w:tcPr>
          <w:p w:rsidR="007D4BA9" w:rsidRDefault="007D4BA9">
            <w:pPr>
              <w:pStyle w:val="ConsPlusNormal"/>
              <w:jc w:val="center"/>
            </w:pPr>
            <w:r>
              <w:t>Ед. изм.</w:t>
            </w:r>
          </w:p>
        </w:tc>
        <w:tc>
          <w:tcPr>
            <w:tcW w:w="2323" w:type="dxa"/>
            <w:gridSpan w:val="2"/>
          </w:tcPr>
          <w:p w:rsidR="007D4BA9" w:rsidRDefault="007D4BA9">
            <w:pPr>
              <w:pStyle w:val="ConsPlusNormal"/>
              <w:jc w:val="center"/>
            </w:pPr>
            <w:r>
              <w:t xml:space="preserve">Расчетные показатели минимальной обеспеченности </w:t>
            </w:r>
            <w:hyperlink w:anchor="P1121">
              <w:r>
                <w:rPr>
                  <w:color w:val="0000FF"/>
                </w:rPr>
                <w:t>&lt;*&gt;</w:t>
              </w:r>
            </w:hyperlink>
          </w:p>
        </w:tc>
        <w:tc>
          <w:tcPr>
            <w:tcW w:w="1561" w:type="dxa"/>
            <w:vMerge w:val="restart"/>
          </w:tcPr>
          <w:p w:rsidR="007D4BA9" w:rsidRDefault="007D4BA9">
            <w:pPr>
              <w:pStyle w:val="ConsPlusNormal"/>
              <w:jc w:val="center"/>
            </w:pPr>
            <w:r>
              <w:t xml:space="preserve">Минимальные показатели обеспеченности общей площадью здания, кв. м общей площади на ед. изм. </w:t>
            </w:r>
            <w:hyperlink w:anchor="P1121">
              <w:r>
                <w:rPr>
                  <w:color w:val="0000FF"/>
                </w:rPr>
                <w:t>&lt;*&gt;</w:t>
              </w:r>
            </w:hyperlink>
          </w:p>
        </w:tc>
        <w:tc>
          <w:tcPr>
            <w:tcW w:w="1984" w:type="dxa"/>
            <w:vMerge w:val="restart"/>
          </w:tcPr>
          <w:p w:rsidR="007D4BA9" w:rsidRDefault="007D4BA9">
            <w:pPr>
              <w:pStyle w:val="ConsPlusNormal"/>
              <w:jc w:val="center"/>
            </w:pPr>
            <w:r>
              <w:t xml:space="preserve">Размеры земельных участков </w:t>
            </w:r>
            <w:hyperlink w:anchor="P1121">
              <w:r>
                <w:rPr>
                  <w:color w:val="0000FF"/>
                </w:rPr>
                <w:t>&lt;*&gt;</w:t>
              </w:r>
            </w:hyperlink>
          </w:p>
        </w:tc>
      </w:tr>
      <w:tr w:rsidR="007D4BA9">
        <w:tc>
          <w:tcPr>
            <w:tcW w:w="2098" w:type="dxa"/>
            <w:vMerge/>
          </w:tcPr>
          <w:p w:rsidR="007D4BA9" w:rsidRDefault="007D4BA9">
            <w:pPr>
              <w:pStyle w:val="ConsPlusNormal"/>
            </w:pPr>
          </w:p>
        </w:tc>
        <w:tc>
          <w:tcPr>
            <w:tcW w:w="1077" w:type="dxa"/>
            <w:vMerge/>
          </w:tcPr>
          <w:p w:rsidR="007D4BA9" w:rsidRDefault="007D4BA9">
            <w:pPr>
              <w:pStyle w:val="ConsPlusNormal"/>
            </w:pPr>
          </w:p>
        </w:tc>
        <w:tc>
          <w:tcPr>
            <w:tcW w:w="1191" w:type="dxa"/>
          </w:tcPr>
          <w:p w:rsidR="007D4BA9" w:rsidRDefault="007D4BA9">
            <w:pPr>
              <w:pStyle w:val="ConsPlusNormal"/>
              <w:jc w:val="center"/>
            </w:pPr>
            <w:r>
              <w:t>на 10 тыс. кв. м общей площади квартир</w:t>
            </w:r>
          </w:p>
        </w:tc>
        <w:tc>
          <w:tcPr>
            <w:tcW w:w="1132" w:type="dxa"/>
          </w:tcPr>
          <w:p w:rsidR="007D4BA9" w:rsidRDefault="007D4BA9">
            <w:pPr>
              <w:pStyle w:val="ConsPlusNormal"/>
              <w:jc w:val="center"/>
            </w:pPr>
            <w:r>
              <w:t>на 100 домовладений ИЖС</w:t>
            </w:r>
          </w:p>
        </w:tc>
        <w:tc>
          <w:tcPr>
            <w:tcW w:w="1561" w:type="dxa"/>
            <w:vMerge/>
          </w:tcPr>
          <w:p w:rsidR="007D4BA9" w:rsidRDefault="007D4BA9">
            <w:pPr>
              <w:pStyle w:val="ConsPlusNormal"/>
            </w:pPr>
          </w:p>
        </w:tc>
        <w:tc>
          <w:tcPr>
            <w:tcW w:w="1984" w:type="dxa"/>
            <w:vMerge/>
          </w:tcPr>
          <w:p w:rsidR="007D4BA9" w:rsidRDefault="007D4BA9">
            <w:pPr>
              <w:pStyle w:val="ConsPlusNormal"/>
            </w:pPr>
          </w:p>
        </w:tc>
      </w:tr>
      <w:tr w:rsidR="007D4BA9">
        <w:tc>
          <w:tcPr>
            <w:tcW w:w="2098" w:type="dxa"/>
          </w:tcPr>
          <w:p w:rsidR="007D4BA9" w:rsidRDefault="007D4BA9">
            <w:pPr>
              <w:pStyle w:val="ConsPlusNormal"/>
            </w:pPr>
            <w:r>
              <w:t xml:space="preserve">Комплексные </w:t>
            </w:r>
            <w:r>
              <w:lastRenderedPageBreak/>
              <w:t>центры социального обслуживания населения, в том числе отделения социального обслуживания, центры материальных выплат</w:t>
            </w:r>
          </w:p>
        </w:tc>
        <w:tc>
          <w:tcPr>
            <w:tcW w:w="1077" w:type="dxa"/>
          </w:tcPr>
          <w:p w:rsidR="007D4BA9" w:rsidRDefault="007D4BA9">
            <w:pPr>
              <w:pStyle w:val="ConsPlusNormal"/>
              <w:jc w:val="center"/>
            </w:pPr>
            <w:r>
              <w:lastRenderedPageBreak/>
              <w:t xml:space="preserve">кв. м </w:t>
            </w:r>
            <w:r>
              <w:lastRenderedPageBreak/>
              <w:t>общей площади</w:t>
            </w:r>
          </w:p>
        </w:tc>
        <w:tc>
          <w:tcPr>
            <w:tcW w:w="1191" w:type="dxa"/>
          </w:tcPr>
          <w:p w:rsidR="007D4BA9" w:rsidRDefault="007D4BA9">
            <w:pPr>
              <w:pStyle w:val="ConsPlusNormal"/>
              <w:jc w:val="center"/>
            </w:pPr>
            <w:r>
              <w:lastRenderedPageBreak/>
              <w:t>3,1</w:t>
            </w:r>
          </w:p>
        </w:tc>
        <w:tc>
          <w:tcPr>
            <w:tcW w:w="1132" w:type="dxa"/>
          </w:tcPr>
          <w:p w:rsidR="007D4BA9" w:rsidRDefault="007D4BA9">
            <w:pPr>
              <w:pStyle w:val="ConsPlusNormal"/>
              <w:jc w:val="center"/>
            </w:pPr>
            <w:r>
              <w:t>2,2</w:t>
            </w:r>
          </w:p>
        </w:tc>
        <w:tc>
          <w:tcPr>
            <w:tcW w:w="1561" w:type="dxa"/>
          </w:tcPr>
          <w:p w:rsidR="007D4BA9" w:rsidRDefault="007D4BA9">
            <w:pPr>
              <w:pStyle w:val="ConsPlusNormal"/>
              <w:jc w:val="center"/>
            </w:pPr>
            <w:r>
              <w:t>-</w:t>
            </w:r>
          </w:p>
        </w:tc>
        <w:tc>
          <w:tcPr>
            <w:tcW w:w="1984" w:type="dxa"/>
          </w:tcPr>
          <w:p w:rsidR="007D4BA9" w:rsidRDefault="007D4BA9">
            <w:pPr>
              <w:pStyle w:val="ConsPlusNormal"/>
              <w:jc w:val="center"/>
            </w:pPr>
            <w:r>
              <w:t>-</w:t>
            </w:r>
          </w:p>
        </w:tc>
      </w:tr>
      <w:tr w:rsidR="007D4BA9">
        <w:tc>
          <w:tcPr>
            <w:tcW w:w="2098" w:type="dxa"/>
          </w:tcPr>
          <w:p w:rsidR="007D4BA9" w:rsidRDefault="007D4BA9">
            <w:pPr>
              <w:pStyle w:val="ConsPlusNormal"/>
            </w:pPr>
            <w:r>
              <w:lastRenderedPageBreak/>
              <w:t>Дома-интернаты для престарелых, ветеранов труда и войны, организуемые производственными объединениями (предприятиями), платные пансионаты (для лиц старше трудоспособного возраста)</w:t>
            </w:r>
          </w:p>
        </w:tc>
        <w:tc>
          <w:tcPr>
            <w:tcW w:w="1077" w:type="dxa"/>
          </w:tcPr>
          <w:p w:rsidR="007D4BA9" w:rsidRDefault="007D4BA9">
            <w:pPr>
              <w:pStyle w:val="ConsPlusNormal"/>
              <w:jc w:val="center"/>
            </w:pPr>
            <w:r>
              <w:t>Мест</w:t>
            </w:r>
          </w:p>
        </w:tc>
        <w:tc>
          <w:tcPr>
            <w:tcW w:w="1191" w:type="dxa"/>
          </w:tcPr>
          <w:p w:rsidR="007D4BA9" w:rsidRDefault="007D4BA9">
            <w:pPr>
              <w:pStyle w:val="ConsPlusNormal"/>
              <w:jc w:val="center"/>
            </w:pPr>
            <w:r>
              <w:t>2,8</w:t>
            </w:r>
          </w:p>
        </w:tc>
        <w:tc>
          <w:tcPr>
            <w:tcW w:w="1132" w:type="dxa"/>
          </w:tcPr>
          <w:p w:rsidR="007D4BA9" w:rsidRDefault="007D4BA9">
            <w:pPr>
              <w:pStyle w:val="ConsPlusNormal"/>
              <w:jc w:val="center"/>
            </w:pPr>
            <w:r>
              <w:t>2,1</w:t>
            </w:r>
          </w:p>
        </w:tc>
        <w:tc>
          <w:tcPr>
            <w:tcW w:w="1561" w:type="dxa"/>
          </w:tcPr>
          <w:p w:rsidR="007D4BA9" w:rsidRDefault="007D4BA9">
            <w:pPr>
              <w:pStyle w:val="ConsPlusNormal"/>
              <w:jc w:val="center"/>
            </w:pPr>
            <w:r>
              <w:t>-</w:t>
            </w:r>
          </w:p>
        </w:tc>
        <w:tc>
          <w:tcPr>
            <w:tcW w:w="1984" w:type="dxa"/>
          </w:tcPr>
          <w:p w:rsidR="007D4BA9" w:rsidRDefault="007D4BA9">
            <w:pPr>
              <w:pStyle w:val="ConsPlusNormal"/>
              <w:jc w:val="center"/>
            </w:pPr>
            <w:r>
              <w:t>-</w:t>
            </w:r>
          </w:p>
        </w:tc>
      </w:tr>
      <w:tr w:rsidR="007D4BA9">
        <w:tc>
          <w:tcPr>
            <w:tcW w:w="2098" w:type="dxa"/>
          </w:tcPr>
          <w:p w:rsidR="007D4BA9" w:rsidRDefault="007D4BA9">
            <w:pPr>
              <w:pStyle w:val="ConsPlusNormal"/>
            </w:pPr>
            <w:r>
              <w:t>Дома-интернаты для взрослых маломобильных групп населения с физическими нарушениями (с 18 лет)</w:t>
            </w:r>
          </w:p>
        </w:tc>
        <w:tc>
          <w:tcPr>
            <w:tcW w:w="1077" w:type="dxa"/>
          </w:tcPr>
          <w:p w:rsidR="007D4BA9" w:rsidRDefault="007D4BA9">
            <w:pPr>
              <w:pStyle w:val="ConsPlusNormal"/>
              <w:jc w:val="center"/>
            </w:pPr>
            <w:r>
              <w:t>Мест</w:t>
            </w:r>
          </w:p>
        </w:tc>
        <w:tc>
          <w:tcPr>
            <w:tcW w:w="1191" w:type="dxa"/>
          </w:tcPr>
          <w:p w:rsidR="007D4BA9" w:rsidRDefault="007D4BA9">
            <w:pPr>
              <w:pStyle w:val="ConsPlusNormal"/>
              <w:jc w:val="center"/>
            </w:pPr>
            <w:r>
              <w:t>1,1</w:t>
            </w:r>
          </w:p>
        </w:tc>
        <w:tc>
          <w:tcPr>
            <w:tcW w:w="1132" w:type="dxa"/>
          </w:tcPr>
          <w:p w:rsidR="007D4BA9" w:rsidRDefault="007D4BA9">
            <w:pPr>
              <w:pStyle w:val="ConsPlusNormal"/>
              <w:jc w:val="center"/>
            </w:pPr>
            <w:r>
              <w:t>0,8</w:t>
            </w:r>
          </w:p>
        </w:tc>
        <w:tc>
          <w:tcPr>
            <w:tcW w:w="1561" w:type="dxa"/>
          </w:tcPr>
          <w:p w:rsidR="007D4BA9" w:rsidRDefault="007D4BA9">
            <w:pPr>
              <w:pStyle w:val="ConsPlusNormal"/>
              <w:jc w:val="center"/>
            </w:pPr>
            <w:r>
              <w:t>18</w:t>
            </w:r>
          </w:p>
        </w:tc>
        <w:tc>
          <w:tcPr>
            <w:tcW w:w="1984" w:type="dxa"/>
          </w:tcPr>
          <w:p w:rsidR="007D4BA9" w:rsidRDefault="007D4BA9">
            <w:pPr>
              <w:pStyle w:val="ConsPlusNormal"/>
            </w:pPr>
            <w:r>
              <w:t>при вместимости: 50 мест - 38 кв. м;</w:t>
            </w:r>
          </w:p>
          <w:p w:rsidR="007D4BA9" w:rsidRDefault="007D4BA9">
            <w:pPr>
              <w:pStyle w:val="ConsPlusNormal"/>
            </w:pPr>
            <w:r>
              <w:t>100 мест - 27 кв. м;</w:t>
            </w:r>
          </w:p>
          <w:p w:rsidR="007D4BA9" w:rsidRDefault="007D4BA9">
            <w:pPr>
              <w:pStyle w:val="ConsPlusNormal"/>
            </w:pPr>
            <w:r>
              <w:t>200 мест - 20 кв. м</w:t>
            </w:r>
          </w:p>
        </w:tc>
      </w:tr>
      <w:tr w:rsidR="007D4BA9">
        <w:tc>
          <w:tcPr>
            <w:tcW w:w="2098" w:type="dxa"/>
          </w:tcPr>
          <w:p w:rsidR="007D4BA9" w:rsidRDefault="007D4BA9">
            <w:pPr>
              <w:pStyle w:val="ConsPlusNormal"/>
            </w:pPr>
            <w:r>
              <w:t>Детские дома-интернаты (для лиц младше трудоспособного возраста)</w:t>
            </w:r>
          </w:p>
        </w:tc>
        <w:tc>
          <w:tcPr>
            <w:tcW w:w="1077" w:type="dxa"/>
          </w:tcPr>
          <w:p w:rsidR="007D4BA9" w:rsidRDefault="007D4BA9">
            <w:pPr>
              <w:pStyle w:val="ConsPlusNormal"/>
              <w:jc w:val="center"/>
            </w:pPr>
            <w:r>
              <w:t>Мест</w:t>
            </w:r>
          </w:p>
        </w:tc>
        <w:tc>
          <w:tcPr>
            <w:tcW w:w="1191" w:type="dxa"/>
          </w:tcPr>
          <w:p w:rsidR="007D4BA9" w:rsidRDefault="007D4BA9">
            <w:pPr>
              <w:pStyle w:val="ConsPlusNormal"/>
              <w:jc w:val="center"/>
            </w:pPr>
            <w:r>
              <w:t>0,2</w:t>
            </w:r>
          </w:p>
        </w:tc>
        <w:tc>
          <w:tcPr>
            <w:tcW w:w="1132" w:type="dxa"/>
          </w:tcPr>
          <w:p w:rsidR="007D4BA9" w:rsidRDefault="007D4BA9">
            <w:pPr>
              <w:pStyle w:val="ConsPlusNormal"/>
              <w:jc w:val="center"/>
            </w:pPr>
            <w:r>
              <w:t>0,17</w:t>
            </w:r>
          </w:p>
        </w:tc>
        <w:tc>
          <w:tcPr>
            <w:tcW w:w="1561" w:type="dxa"/>
          </w:tcPr>
          <w:p w:rsidR="007D4BA9" w:rsidRDefault="007D4BA9">
            <w:pPr>
              <w:pStyle w:val="ConsPlusNormal"/>
              <w:jc w:val="center"/>
            </w:pPr>
            <w:r>
              <w:t>21</w:t>
            </w:r>
          </w:p>
        </w:tc>
        <w:tc>
          <w:tcPr>
            <w:tcW w:w="1984" w:type="dxa"/>
          </w:tcPr>
          <w:p w:rsidR="007D4BA9" w:rsidRDefault="007D4BA9">
            <w:pPr>
              <w:pStyle w:val="ConsPlusNormal"/>
            </w:pPr>
            <w:r>
              <w:t>при вместимости: 100 мест - 80 кв. м;</w:t>
            </w:r>
          </w:p>
          <w:p w:rsidR="007D4BA9" w:rsidRDefault="007D4BA9">
            <w:pPr>
              <w:pStyle w:val="ConsPlusNormal"/>
            </w:pPr>
            <w:r>
              <w:t>120 мест - 60 кв. м;</w:t>
            </w:r>
          </w:p>
          <w:p w:rsidR="007D4BA9" w:rsidRDefault="007D4BA9">
            <w:pPr>
              <w:pStyle w:val="ConsPlusNormal"/>
            </w:pPr>
            <w:r>
              <w:t>200 мест - 50 кв. м</w:t>
            </w:r>
          </w:p>
        </w:tc>
      </w:tr>
      <w:tr w:rsidR="007D4BA9">
        <w:tc>
          <w:tcPr>
            <w:tcW w:w="2098" w:type="dxa"/>
          </w:tcPr>
          <w:p w:rsidR="007D4BA9" w:rsidRDefault="007D4BA9">
            <w:pPr>
              <w:pStyle w:val="ConsPlusNormal"/>
            </w:pPr>
            <w:r>
              <w:t>Учреждения медико-социального обслуживания (для лиц старше трудоспособного возраста)</w:t>
            </w:r>
          </w:p>
        </w:tc>
        <w:tc>
          <w:tcPr>
            <w:tcW w:w="1077" w:type="dxa"/>
          </w:tcPr>
          <w:p w:rsidR="007D4BA9" w:rsidRDefault="007D4BA9">
            <w:pPr>
              <w:pStyle w:val="ConsPlusNormal"/>
              <w:jc w:val="center"/>
            </w:pPr>
            <w:r>
              <w:t>коек</w:t>
            </w:r>
          </w:p>
        </w:tc>
        <w:tc>
          <w:tcPr>
            <w:tcW w:w="1191" w:type="dxa"/>
          </w:tcPr>
          <w:p w:rsidR="007D4BA9" w:rsidRDefault="007D4BA9">
            <w:pPr>
              <w:pStyle w:val="ConsPlusNormal"/>
              <w:jc w:val="center"/>
            </w:pPr>
            <w:r>
              <w:t>0,16</w:t>
            </w:r>
          </w:p>
        </w:tc>
        <w:tc>
          <w:tcPr>
            <w:tcW w:w="1132" w:type="dxa"/>
          </w:tcPr>
          <w:p w:rsidR="007D4BA9" w:rsidRDefault="007D4BA9">
            <w:pPr>
              <w:pStyle w:val="ConsPlusNormal"/>
              <w:jc w:val="center"/>
            </w:pPr>
            <w:r>
              <w:t>0,11</w:t>
            </w:r>
          </w:p>
        </w:tc>
        <w:tc>
          <w:tcPr>
            <w:tcW w:w="1561" w:type="dxa"/>
          </w:tcPr>
          <w:p w:rsidR="007D4BA9" w:rsidRDefault="007D4BA9">
            <w:pPr>
              <w:pStyle w:val="ConsPlusNormal"/>
              <w:jc w:val="center"/>
            </w:pPr>
            <w:r>
              <w:t>-</w:t>
            </w:r>
          </w:p>
        </w:tc>
        <w:tc>
          <w:tcPr>
            <w:tcW w:w="1984" w:type="dxa"/>
          </w:tcPr>
          <w:p w:rsidR="007D4BA9" w:rsidRDefault="007D4BA9">
            <w:pPr>
              <w:pStyle w:val="ConsPlusNormal"/>
              <w:jc w:val="center"/>
            </w:pPr>
            <w:r>
              <w:t>-</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17" w:name="P1121"/>
      <w:bookmarkEnd w:id="17"/>
      <w:r>
        <w:t xml:space="preserve">&lt;*&gt; Расчетные показатели принимаются в соответствии с </w:t>
      </w:r>
      <w:hyperlink r:id="rId43">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 xml:space="preserve">Примечание. В условиях существующей застройки норма по минимальному показателю обеспеченности общей площадью зданий и размерам земельных участков, указанная в </w:t>
      </w:r>
      <w:hyperlink w:anchor="P1075">
        <w:r>
          <w:rPr>
            <w:color w:val="0000FF"/>
          </w:rPr>
          <w:t>таблице 13</w:t>
        </w:r>
      </w:hyperlink>
      <w:r>
        <w:t>, носит рекомендательный характер при условии обеспечения иных требований к объекту.</w:t>
      </w:r>
    </w:p>
    <w:p w:rsidR="007D4BA9" w:rsidRDefault="007D4BA9">
      <w:pPr>
        <w:pStyle w:val="ConsPlusNormal"/>
        <w:jc w:val="both"/>
      </w:pPr>
    </w:p>
    <w:p w:rsidR="007D4BA9" w:rsidRDefault="007D4BA9">
      <w:pPr>
        <w:pStyle w:val="ConsPlusTitle"/>
        <w:jc w:val="center"/>
        <w:outlineLvl w:val="2"/>
      </w:pPr>
      <w:r>
        <w:t>Глава 25. ОБЪЕКТЫ КУЛЬТУРНО-ДОСУГОВОГО НАЗНАЧЕНИЯ</w:t>
      </w:r>
    </w:p>
    <w:p w:rsidR="007D4BA9" w:rsidRDefault="007D4BA9">
      <w:pPr>
        <w:pStyle w:val="ConsPlusNormal"/>
        <w:jc w:val="both"/>
      </w:pPr>
    </w:p>
    <w:p w:rsidR="007D4BA9" w:rsidRDefault="007D4BA9">
      <w:pPr>
        <w:pStyle w:val="ConsPlusNormal"/>
        <w:ind w:firstLine="540"/>
        <w:jc w:val="both"/>
      </w:pPr>
      <w:r>
        <w:t>134. В целях обеспечения доступности объектов культурно-досугового назначения предусматривается размещение отдельно стоящих, встроенных или пристроенных объектов культуры в составе жилых зон и отдельно стоящих объектов культуры в составе общественно-деловых и рекреационных зон.</w:t>
      </w:r>
    </w:p>
    <w:p w:rsidR="007D4BA9" w:rsidRDefault="007D4BA9">
      <w:pPr>
        <w:pStyle w:val="ConsPlusNormal"/>
        <w:spacing w:before="220"/>
        <w:ind w:firstLine="540"/>
        <w:jc w:val="both"/>
      </w:pPr>
      <w:r>
        <w:t>135. Доступность услуг организаций культуры обеспечивается за счет шаговой и транспортной досягаемости, а также путем использования информационно-коммуникационных технологий, доступа к электронным ресурсам (виртуальным экскурсиям, спектаклям, концертам) и путем организации гастролей.</w:t>
      </w:r>
    </w:p>
    <w:p w:rsidR="007D4BA9" w:rsidRDefault="007D4BA9">
      <w:pPr>
        <w:pStyle w:val="ConsPlusNormal"/>
        <w:spacing w:before="220"/>
        <w:ind w:firstLine="540"/>
        <w:jc w:val="both"/>
      </w:pPr>
      <w:r>
        <w:t>136. Перед входами и выходами из кинотеатров круглогодичного действия, театров, концертных залов, культовых сооружений, спортивных сооружений и иных объектов, связанных с массовым посещением людей, должны быть предусмотрены площадки площадью не менее 0,3 кв. м на одно место в зрительном зале (или на одного посетителя).</w:t>
      </w:r>
    </w:p>
    <w:p w:rsidR="007D4BA9" w:rsidRDefault="007D4BA9">
      <w:pPr>
        <w:pStyle w:val="ConsPlusNormal"/>
        <w:spacing w:before="220"/>
        <w:ind w:firstLine="540"/>
        <w:jc w:val="both"/>
      </w:pPr>
      <w:r>
        <w:t>137. Расчетные показатели минимально допустимого уровня обеспеченности населения объектами культурно-досугового назначения указаны в таблице 14.</w:t>
      </w:r>
    </w:p>
    <w:p w:rsidR="007D4BA9" w:rsidRDefault="007D4BA9">
      <w:pPr>
        <w:pStyle w:val="ConsPlusNormal"/>
        <w:jc w:val="both"/>
      </w:pPr>
    </w:p>
    <w:p w:rsidR="007D4BA9" w:rsidRDefault="007D4BA9">
      <w:pPr>
        <w:pStyle w:val="ConsPlusNormal"/>
        <w:jc w:val="right"/>
        <w:outlineLvl w:val="3"/>
      </w:pPr>
      <w:r>
        <w:t>Таблица 14</w:t>
      </w:r>
    </w:p>
    <w:p w:rsidR="007D4BA9" w:rsidRDefault="007D4BA9">
      <w:pPr>
        <w:pStyle w:val="ConsPlusNormal"/>
        <w:jc w:val="both"/>
      </w:pPr>
    </w:p>
    <w:p w:rsidR="007D4BA9" w:rsidRDefault="007D4BA9">
      <w:pPr>
        <w:pStyle w:val="ConsPlusTitle"/>
        <w:jc w:val="center"/>
      </w:pPr>
      <w:bookmarkStart w:id="18" w:name="P1134"/>
      <w:bookmarkEnd w:id="18"/>
      <w:r>
        <w:t>Расчетные показатели минимально допустимого уровня</w:t>
      </w:r>
    </w:p>
    <w:p w:rsidR="007D4BA9" w:rsidRDefault="007D4BA9">
      <w:pPr>
        <w:pStyle w:val="ConsPlusTitle"/>
        <w:jc w:val="center"/>
      </w:pPr>
      <w:r>
        <w:t>обеспеченности населения объектами культурно-досугового</w:t>
      </w:r>
    </w:p>
    <w:p w:rsidR="007D4BA9" w:rsidRDefault="007D4BA9">
      <w:pPr>
        <w:pStyle w:val="ConsPlusTitle"/>
        <w:jc w:val="center"/>
      </w:pPr>
      <w:r>
        <w:t>назначения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778"/>
        <w:gridCol w:w="1531"/>
        <w:gridCol w:w="1277"/>
        <w:gridCol w:w="1136"/>
        <w:gridCol w:w="2324"/>
      </w:tblGrid>
      <w:tr w:rsidR="007D4BA9">
        <w:tc>
          <w:tcPr>
            <w:tcW w:w="2778" w:type="dxa"/>
            <w:vMerge w:val="restart"/>
          </w:tcPr>
          <w:p w:rsidR="007D4BA9" w:rsidRDefault="007D4BA9">
            <w:pPr>
              <w:pStyle w:val="ConsPlusNormal"/>
              <w:jc w:val="center"/>
            </w:pPr>
            <w:r>
              <w:t>Виды нормируемых объектов</w:t>
            </w:r>
          </w:p>
        </w:tc>
        <w:tc>
          <w:tcPr>
            <w:tcW w:w="1531" w:type="dxa"/>
            <w:vMerge w:val="restart"/>
          </w:tcPr>
          <w:p w:rsidR="007D4BA9" w:rsidRDefault="007D4BA9">
            <w:pPr>
              <w:pStyle w:val="ConsPlusNormal"/>
              <w:jc w:val="center"/>
            </w:pPr>
            <w:r>
              <w:t>Ед. изм.</w:t>
            </w:r>
          </w:p>
        </w:tc>
        <w:tc>
          <w:tcPr>
            <w:tcW w:w="2413" w:type="dxa"/>
            <w:gridSpan w:val="2"/>
          </w:tcPr>
          <w:p w:rsidR="007D4BA9" w:rsidRDefault="007D4BA9">
            <w:pPr>
              <w:pStyle w:val="ConsPlusNormal"/>
              <w:jc w:val="center"/>
            </w:pPr>
            <w:r>
              <w:t xml:space="preserve">Расчетные показатели минимальной обеспеченности </w:t>
            </w:r>
            <w:hyperlink w:anchor="P1198">
              <w:r>
                <w:rPr>
                  <w:color w:val="0000FF"/>
                </w:rPr>
                <w:t>&lt;*&gt;</w:t>
              </w:r>
            </w:hyperlink>
          </w:p>
        </w:tc>
        <w:tc>
          <w:tcPr>
            <w:tcW w:w="2324" w:type="dxa"/>
            <w:vMerge w:val="restart"/>
          </w:tcPr>
          <w:p w:rsidR="007D4BA9" w:rsidRDefault="007D4BA9">
            <w:pPr>
              <w:pStyle w:val="ConsPlusNormal"/>
              <w:jc w:val="center"/>
            </w:pPr>
            <w:r>
              <w:t xml:space="preserve">Минимальные показатели обеспеченности общей площадью здания, кв. м общей площади на ед. изм. </w:t>
            </w:r>
            <w:hyperlink w:anchor="P1198">
              <w:r>
                <w:rPr>
                  <w:color w:val="0000FF"/>
                </w:rPr>
                <w:t>&lt;*&gt;</w:t>
              </w:r>
            </w:hyperlink>
          </w:p>
        </w:tc>
      </w:tr>
      <w:tr w:rsidR="007D4BA9">
        <w:tc>
          <w:tcPr>
            <w:tcW w:w="2778" w:type="dxa"/>
            <w:vMerge/>
          </w:tcPr>
          <w:p w:rsidR="007D4BA9" w:rsidRDefault="007D4BA9">
            <w:pPr>
              <w:pStyle w:val="ConsPlusNormal"/>
            </w:pPr>
          </w:p>
        </w:tc>
        <w:tc>
          <w:tcPr>
            <w:tcW w:w="1531" w:type="dxa"/>
            <w:vMerge/>
          </w:tcPr>
          <w:p w:rsidR="007D4BA9" w:rsidRDefault="007D4BA9">
            <w:pPr>
              <w:pStyle w:val="ConsPlusNormal"/>
            </w:pPr>
          </w:p>
        </w:tc>
        <w:tc>
          <w:tcPr>
            <w:tcW w:w="1277" w:type="dxa"/>
          </w:tcPr>
          <w:p w:rsidR="007D4BA9" w:rsidRDefault="007D4BA9">
            <w:pPr>
              <w:pStyle w:val="ConsPlusNormal"/>
              <w:jc w:val="center"/>
            </w:pPr>
            <w:r>
              <w:t>на 10 тыс. кв. м общей площади квартир</w:t>
            </w:r>
          </w:p>
        </w:tc>
        <w:tc>
          <w:tcPr>
            <w:tcW w:w="1136" w:type="dxa"/>
          </w:tcPr>
          <w:p w:rsidR="007D4BA9" w:rsidRDefault="007D4BA9">
            <w:pPr>
              <w:pStyle w:val="ConsPlusNormal"/>
              <w:jc w:val="center"/>
            </w:pPr>
            <w:r>
              <w:t>на 100 домовладений ИЖС</w:t>
            </w:r>
          </w:p>
        </w:tc>
        <w:tc>
          <w:tcPr>
            <w:tcW w:w="2324" w:type="dxa"/>
            <w:vMerge/>
          </w:tcPr>
          <w:p w:rsidR="007D4BA9" w:rsidRDefault="007D4BA9">
            <w:pPr>
              <w:pStyle w:val="ConsPlusNormal"/>
            </w:pPr>
          </w:p>
        </w:tc>
      </w:tr>
      <w:tr w:rsidR="007D4BA9">
        <w:tc>
          <w:tcPr>
            <w:tcW w:w="2778" w:type="dxa"/>
          </w:tcPr>
          <w:p w:rsidR="007D4BA9" w:rsidRDefault="007D4BA9">
            <w:pPr>
              <w:pStyle w:val="ConsPlusNormal"/>
            </w:pPr>
            <w:r>
              <w:t>Культурно-досуговые учреждения (помещения для культурно-массовой работы, досуга и любительской деятельности)</w:t>
            </w:r>
          </w:p>
        </w:tc>
        <w:tc>
          <w:tcPr>
            <w:tcW w:w="1531" w:type="dxa"/>
          </w:tcPr>
          <w:p w:rsidR="007D4BA9" w:rsidRDefault="007D4BA9">
            <w:pPr>
              <w:pStyle w:val="ConsPlusNormal"/>
            </w:pPr>
            <w:r>
              <w:t>кв. м общей площади</w:t>
            </w:r>
          </w:p>
        </w:tc>
        <w:tc>
          <w:tcPr>
            <w:tcW w:w="1277" w:type="dxa"/>
          </w:tcPr>
          <w:p w:rsidR="007D4BA9" w:rsidRDefault="007D4BA9">
            <w:pPr>
              <w:pStyle w:val="ConsPlusNormal"/>
              <w:jc w:val="center"/>
            </w:pPr>
            <w:r>
              <w:t>5,3</w:t>
            </w:r>
          </w:p>
        </w:tc>
        <w:tc>
          <w:tcPr>
            <w:tcW w:w="1136" w:type="dxa"/>
          </w:tcPr>
          <w:p w:rsidR="007D4BA9" w:rsidRDefault="007D4BA9">
            <w:pPr>
              <w:pStyle w:val="ConsPlusNormal"/>
              <w:jc w:val="center"/>
            </w:pPr>
            <w:r>
              <w:t>3,8</w:t>
            </w:r>
          </w:p>
        </w:tc>
        <w:tc>
          <w:tcPr>
            <w:tcW w:w="2324" w:type="dxa"/>
          </w:tcPr>
          <w:p w:rsidR="007D4BA9" w:rsidRDefault="007D4BA9">
            <w:pPr>
              <w:pStyle w:val="ConsPlusNormal"/>
              <w:jc w:val="center"/>
            </w:pPr>
            <w:r>
              <w:t>-</w:t>
            </w:r>
          </w:p>
        </w:tc>
      </w:tr>
      <w:tr w:rsidR="007D4BA9">
        <w:tc>
          <w:tcPr>
            <w:tcW w:w="2778" w:type="dxa"/>
            <w:vMerge w:val="restart"/>
          </w:tcPr>
          <w:p w:rsidR="007D4BA9" w:rsidRDefault="007D4BA9">
            <w:pPr>
              <w:pStyle w:val="ConsPlusNormal"/>
            </w:pPr>
            <w:r>
              <w:t>Кинотеатры, в том числе многозальные</w:t>
            </w:r>
          </w:p>
        </w:tc>
        <w:tc>
          <w:tcPr>
            <w:tcW w:w="1531" w:type="dxa"/>
          </w:tcPr>
          <w:p w:rsidR="007D4BA9" w:rsidRDefault="007D4BA9">
            <w:pPr>
              <w:pStyle w:val="ConsPlusNormal"/>
            </w:pPr>
            <w:r>
              <w:t>Объекты</w:t>
            </w:r>
          </w:p>
        </w:tc>
        <w:tc>
          <w:tcPr>
            <w:tcW w:w="1277" w:type="dxa"/>
          </w:tcPr>
          <w:p w:rsidR="007D4BA9" w:rsidRDefault="007D4BA9">
            <w:pPr>
              <w:pStyle w:val="ConsPlusNormal"/>
              <w:jc w:val="center"/>
            </w:pPr>
            <w:r>
              <w:t>0,004</w:t>
            </w:r>
          </w:p>
        </w:tc>
        <w:tc>
          <w:tcPr>
            <w:tcW w:w="1136" w:type="dxa"/>
          </w:tcPr>
          <w:p w:rsidR="007D4BA9" w:rsidRDefault="007D4BA9">
            <w:pPr>
              <w:pStyle w:val="ConsPlusNormal"/>
              <w:jc w:val="center"/>
            </w:pPr>
            <w:r>
              <w:t>0,003</w:t>
            </w:r>
          </w:p>
        </w:tc>
        <w:tc>
          <w:tcPr>
            <w:tcW w:w="2324" w:type="dxa"/>
          </w:tcPr>
          <w:p w:rsidR="007D4BA9" w:rsidRDefault="007D4BA9">
            <w:pPr>
              <w:pStyle w:val="ConsPlusNormal"/>
            </w:pPr>
          </w:p>
        </w:tc>
      </w:tr>
      <w:tr w:rsidR="007D4BA9">
        <w:tc>
          <w:tcPr>
            <w:tcW w:w="2778" w:type="dxa"/>
            <w:vMerge/>
          </w:tcPr>
          <w:p w:rsidR="007D4BA9" w:rsidRDefault="007D4BA9">
            <w:pPr>
              <w:pStyle w:val="ConsPlusNormal"/>
            </w:pPr>
          </w:p>
        </w:tc>
        <w:tc>
          <w:tcPr>
            <w:tcW w:w="1531" w:type="dxa"/>
          </w:tcPr>
          <w:p w:rsidR="007D4BA9" w:rsidRDefault="007D4BA9">
            <w:pPr>
              <w:pStyle w:val="ConsPlusNormal"/>
            </w:pPr>
            <w:r>
              <w:t>Мест</w:t>
            </w:r>
          </w:p>
        </w:tc>
        <w:tc>
          <w:tcPr>
            <w:tcW w:w="1277" w:type="dxa"/>
          </w:tcPr>
          <w:p w:rsidR="007D4BA9" w:rsidRDefault="007D4BA9">
            <w:pPr>
              <w:pStyle w:val="ConsPlusNormal"/>
              <w:jc w:val="center"/>
            </w:pPr>
            <w:r>
              <w:t>0,9 - 1,3</w:t>
            </w:r>
          </w:p>
        </w:tc>
        <w:tc>
          <w:tcPr>
            <w:tcW w:w="1136" w:type="dxa"/>
          </w:tcPr>
          <w:p w:rsidR="007D4BA9" w:rsidRDefault="007D4BA9">
            <w:pPr>
              <w:pStyle w:val="ConsPlusNormal"/>
              <w:jc w:val="center"/>
            </w:pPr>
            <w:r>
              <w:t>0,6 - 0,9</w:t>
            </w:r>
          </w:p>
        </w:tc>
        <w:tc>
          <w:tcPr>
            <w:tcW w:w="2324" w:type="dxa"/>
          </w:tcPr>
          <w:p w:rsidR="007D4BA9" w:rsidRDefault="007D4BA9">
            <w:pPr>
              <w:pStyle w:val="ConsPlusNormal"/>
            </w:pPr>
            <w:r>
              <w:t>4 кв. м на 1 место</w:t>
            </w:r>
          </w:p>
        </w:tc>
      </w:tr>
      <w:tr w:rsidR="007D4BA9">
        <w:tc>
          <w:tcPr>
            <w:tcW w:w="2778" w:type="dxa"/>
          </w:tcPr>
          <w:p w:rsidR="007D4BA9" w:rsidRDefault="007D4BA9">
            <w:pPr>
              <w:pStyle w:val="ConsPlusNormal"/>
            </w:pPr>
            <w:r>
              <w:t>Театры</w:t>
            </w:r>
          </w:p>
        </w:tc>
        <w:tc>
          <w:tcPr>
            <w:tcW w:w="1531" w:type="dxa"/>
          </w:tcPr>
          <w:p w:rsidR="007D4BA9" w:rsidRDefault="007D4BA9">
            <w:pPr>
              <w:pStyle w:val="ConsPlusNormal"/>
            </w:pPr>
            <w:r>
              <w:t>Мест</w:t>
            </w:r>
          </w:p>
        </w:tc>
        <w:tc>
          <w:tcPr>
            <w:tcW w:w="1277" w:type="dxa"/>
          </w:tcPr>
          <w:p w:rsidR="007D4BA9" w:rsidRDefault="007D4BA9">
            <w:pPr>
              <w:pStyle w:val="ConsPlusNormal"/>
              <w:jc w:val="center"/>
            </w:pPr>
            <w:r>
              <w:t>2,2 - 3,6</w:t>
            </w:r>
          </w:p>
        </w:tc>
        <w:tc>
          <w:tcPr>
            <w:tcW w:w="1136" w:type="dxa"/>
          </w:tcPr>
          <w:p w:rsidR="007D4BA9" w:rsidRDefault="007D4BA9">
            <w:pPr>
              <w:pStyle w:val="ConsPlusNormal"/>
              <w:jc w:val="center"/>
            </w:pPr>
            <w:r>
              <w:t>1,6 - 2,5</w:t>
            </w:r>
          </w:p>
        </w:tc>
        <w:tc>
          <w:tcPr>
            <w:tcW w:w="2324" w:type="dxa"/>
          </w:tcPr>
          <w:p w:rsidR="007D4BA9" w:rsidRDefault="007D4BA9">
            <w:pPr>
              <w:pStyle w:val="ConsPlusNormal"/>
              <w:jc w:val="center"/>
            </w:pPr>
            <w:r>
              <w:t>-</w:t>
            </w:r>
          </w:p>
        </w:tc>
      </w:tr>
      <w:tr w:rsidR="007D4BA9">
        <w:tc>
          <w:tcPr>
            <w:tcW w:w="2778" w:type="dxa"/>
          </w:tcPr>
          <w:p w:rsidR="007D4BA9" w:rsidRDefault="007D4BA9">
            <w:pPr>
              <w:pStyle w:val="ConsPlusNormal"/>
            </w:pPr>
            <w:r>
              <w:t>Концертные залы</w:t>
            </w:r>
          </w:p>
        </w:tc>
        <w:tc>
          <w:tcPr>
            <w:tcW w:w="1531" w:type="dxa"/>
          </w:tcPr>
          <w:p w:rsidR="007D4BA9" w:rsidRDefault="007D4BA9">
            <w:pPr>
              <w:pStyle w:val="ConsPlusNormal"/>
            </w:pPr>
            <w:r>
              <w:t>Мест</w:t>
            </w:r>
          </w:p>
        </w:tc>
        <w:tc>
          <w:tcPr>
            <w:tcW w:w="1277" w:type="dxa"/>
          </w:tcPr>
          <w:p w:rsidR="007D4BA9" w:rsidRDefault="007D4BA9">
            <w:pPr>
              <w:pStyle w:val="ConsPlusNormal"/>
              <w:jc w:val="center"/>
            </w:pPr>
            <w:r>
              <w:t>1,6 - 2,2</w:t>
            </w:r>
          </w:p>
        </w:tc>
        <w:tc>
          <w:tcPr>
            <w:tcW w:w="1136" w:type="dxa"/>
          </w:tcPr>
          <w:p w:rsidR="007D4BA9" w:rsidRDefault="007D4BA9">
            <w:pPr>
              <w:pStyle w:val="ConsPlusNormal"/>
              <w:jc w:val="center"/>
            </w:pPr>
            <w:r>
              <w:t>1,1 - 1,6</w:t>
            </w:r>
          </w:p>
        </w:tc>
        <w:tc>
          <w:tcPr>
            <w:tcW w:w="2324" w:type="dxa"/>
          </w:tcPr>
          <w:p w:rsidR="007D4BA9" w:rsidRDefault="007D4BA9">
            <w:pPr>
              <w:pStyle w:val="ConsPlusNormal"/>
              <w:jc w:val="center"/>
            </w:pPr>
            <w:r>
              <w:t>-</w:t>
            </w:r>
          </w:p>
        </w:tc>
      </w:tr>
      <w:tr w:rsidR="007D4BA9">
        <w:tc>
          <w:tcPr>
            <w:tcW w:w="2778" w:type="dxa"/>
          </w:tcPr>
          <w:p w:rsidR="007D4BA9" w:rsidRDefault="007D4BA9">
            <w:pPr>
              <w:pStyle w:val="ConsPlusNormal"/>
            </w:pPr>
            <w:r>
              <w:t>Цирки</w:t>
            </w:r>
          </w:p>
        </w:tc>
        <w:tc>
          <w:tcPr>
            <w:tcW w:w="1531" w:type="dxa"/>
          </w:tcPr>
          <w:p w:rsidR="007D4BA9" w:rsidRDefault="007D4BA9">
            <w:pPr>
              <w:pStyle w:val="ConsPlusNormal"/>
            </w:pPr>
            <w:r>
              <w:t>Мест</w:t>
            </w:r>
          </w:p>
        </w:tc>
        <w:tc>
          <w:tcPr>
            <w:tcW w:w="1277" w:type="dxa"/>
          </w:tcPr>
          <w:p w:rsidR="007D4BA9" w:rsidRDefault="007D4BA9">
            <w:pPr>
              <w:pStyle w:val="ConsPlusNormal"/>
              <w:jc w:val="center"/>
            </w:pPr>
            <w:r>
              <w:t>1,6 - 2,2</w:t>
            </w:r>
          </w:p>
        </w:tc>
        <w:tc>
          <w:tcPr>
            <w:tcW w:w="1136" w:type="dxa"/>
          </w:tcPr>
          <w:p w:rsidR="007D4BA9" w:rsidRDefault="007D4BA9">
            <w:pPr>
              <w:pStyle w:val="ConsPlusNormal"/>
              <w:jc w:val="center"/>
            </w:pPr>
            <w:r>
              <w:t>1,1 - 1,6</w:t>
            </w:r>
          </w:p>
        </w:tc>
        <w:tc>
          <w:tcPr>
            <w:tcW w:w="2324" w:type="dxa"/>
          </w:tcPr>
          <w:p w:rsidR="007D4BA9" w:rsidRDefault="007D4BA9">
            <w:pPr>
              <w:pStyle w:val="ConsPlusNormal"/>
              <w:jc w:val="center"/>
            </w:pPr>
            <w:r>
              <w:t>-</w:t>
            </w:r>
          </w:p>
        </w:tc>
      </w:tr>
      <w:tr w:rsidR="007D4BA9">
        <w:tc>
          <w:tcPr>
            <w:tcW w:w="2778" w:type="dxa"/>
          </w:tcPr>
          <w:p w:rsidR="007D4BA9" w:rsidRDefault="007D4BA9">
            <w:pPr>
              <w:pStyle w:val="ConsPlusNormal"/>
            </w:pPr>
            <w:r>
              <w:t>Музеи, галереи</w:t>
            </w:r>
          </w:p>
        </w:tc>
        <w:tc>
          <w:tcPr>
            <w:tcW w:w="1531" w:type="dxa"/>
          </w:tcPr>
          <w:p w:rsidR="007D4BA9" w:rsidRDefault="007D4BA9">
            <w:pPr>
              <w:pStyle w:val="ConsPlusNormal"/>
            </w:pPr>
            <w:r>
              <w:t>Объекты</w:t>
            </w:r>
          </w:p>
        </w:tc>
        <w:tc>
          <w:tcPr>
            <w:tcW w:w="2413" w:type="dxa"/>
            <w:gridSpan w:val="2"/>
          </w:tcPr>
          <w:p w:rsidR="007D4BA9" w:rsidRDefault="007D4BA9">
            <w:pPr>
              <w:pStyle w:val="ConsPlusNormal"/>
              <w:jc w:val="center"/>
            </w:pPr>
            <w:r>
              <w:t>1 - 2 учреждения на административный район</w:t>
            </w:r>
          </w:p>
        </w:tc>
        <w:tc>
          <w:tcPr>
            <w:tcW w:w="2324" w:type="dxa"/>
          </w:tcPr>
          <w:p w:rsidR="007D4BA9" w:rsidRDefault="007D4BA9">
            <w:pPr>
              <w:pStyle w:val="ConsPlusNormal"/>
              <w:jc w:val="center"/>
            </w:pPr>
            <w:r>
              <w:t>-</w:t>
            </w:r>
          </w:p>
        </w:tc>
      </w:tr>
      <w:tr w:rsidR="007D4BA9">
        <w:tc>
          <w:tcPr>
            <w:tcW w:w="2778" w:type="dxa"/>
          </w:tcPr>
          <w:p w:rsidR="007D4BA9" w:rsidRDefault="007D4BA9">
            <w:pPr>
              <w:pStyle w:val="ConsPlusNormal"/>
            </w:pPr>
            <w:r>
              <w:lastRenderedPageBreak/>
              <w:t>Выставочные залы</w:t>
            </w:r>
          </w:p>
        </w:tc>
        <w:tc>
          <w:tcPr>
            <w:tcW w:w="1531" w:type="dxa"/>
          </w:tcPr>
          <w:p w:rsidR="007D4BA9" w:rsidRDefault="007D4BA9">
            <w:pPr>
              <w:pStyle w:val="ConsPlusNormal"/>
            </w:pPr>
            <w:r>
              <w:t>Объекты</w:t>
            </w:r>
          </w:p>
        </w:tc>
        <w:tc>
          <w:tcPr>
            <w:tcW w:w="2413" w:type="dxa"/>
            <w:gridSpan w:val="2"/>
          </w:tcPr>
          <w:p w:rsidR="007D4BA9" w:rsidRDefault="007D4BA9">
            <w:pPr>
              <w:pStyle w:val="ConsPlusNormal"/>
              <w:jc w:val="center"/>
            </w:pPr>
            <w:r>
              <w:t>1 - 2 учреждения на административный район</w:t>
            </w:r>
          </w:p>
        </w:tc>
        <w:tc>
          <w:tcPr>
            <w:tcW w:w="2324" w:type="dxa"/>
          </w:tcPr>
          <w:p w:rsidR="007D4BA9" w:rsidRDefault="007D4BA9">
            <w:pPr>
              <w:pStyle w:val="ConsPlusNormal"/>
              <w:jc w:val="center"/>
            </w:pPr>
            <w:r>
              <w:t>-</w:t>
            </w:r>
          </w:p>
        </w:tc>
      </w:tr>
      <w:tr w:rsidR="007D4BA9">
        <w:tc>
          <w:tcPr>
            <w:tcW w:w="2778" w:type="dxa"/>
          </w:tcPr>
          <w:p w:rsidR="007D4BA9" w:rsidRDefault="007D4BA9">
            <w:pPr>
              <w:pStyle w:val="ConsPlusNormal"/>
            </w:pPr>
            <w:r>
              <w:t>Городские библиотеки</w:t>
            </w:r>
          </w:p>
        </w:tc>
        <w:tc>
          <w:tcPr>
            <w:tcW w:w="1531" w:type="dxa"/>
          </w:tcPr>
          <w:p w:rsidR="007D4BA9" w:rsidRDefault="007D4BA9">
            <w:pPr>
              <w:pStyle w:val="ConsPlusNormal"/>
            </w:pPr>
            <w:r>
              <w:t>тыс. экземпляров</w:t>
            </w:r>
          </w:p>
        </w:tc>
        <w:tc>
          <w:tcPr>
            <w:tcW w:w="1277" w:type="dxa"/>
          </w:tcPr>
          <w:p w:rsidR="007D4BA9" w:rsidRDefault="007D4BA9">
            <w:pPr>
              <w:pStyle w:val="ConsPlusNormal"/>
              <w:jc w:val="center"/>
            </w:pPr>
            <w:r>
              <w:t>2,2 - 3,1</w:t>
            </w:r>
          </w:p>
        </w:tc>
        <w:tc>
          <w:tcPr>
            <w:tcW w:w="1136" w:type="dxa"/>
          </w:tcPr>
          <w:p w:rsidR="007D4BA9" w:rsidRDefault="007D4BA9">
            <w:pPr>
              <w:pStyle w:val="ConsPlusNormal"/>
              <w:jc w:val="center"/>
            </w:pPr>
            <w:r>
              <w:t>1,6 - 2,2</w:t>
            </w:r>
          </w:p>
        </w:tc>
        <w:tc>
          <w:tcPr>
            <w:tcW w:w="2324" w:type="dxa"/>
          </w:tcPr>
          <w:p w:rsidR="007D4BA9" w:rsidRDefault="007D4BA9">
            <w:pPr>
              <w:pStyle w:val="ConsPlusNormal"/>
              <w:jc w:val="both"/>
            </w:pPr>
            <w:r>
              <w:t>площадь абонемента в библиотеке - 5,5 кв. м на 1000 томов, площадь читального зала - 1,5 кв. м на 100 человек, площадь танцевального зала - 11 кв. м на 100 человек</w:t>
            </w:r>
          </w:p>
        </w:tc>
      </w:tr>
      <w:tr w:rsidR="007D4BA9">
        <w:tc>
          <w:tcPr>
            <w:tcW w:w="2778" w:type="dxa"/>
          </w:tcPr>
          <w:p w:rsidR="007D4BA9" w:rsidRDefault="007D4BA9">
            <w:pPr>
              <w:pStyle w:val="ConsPlusNormal"/>
            </w:pPr>
            <w:r>
              <w:t>Культурные центры</w:t>
            </w:r>
          </w:p>
        </w:tc>
        <w:tc>
          <w:tcPr>
            <w:tcW w:w="1531" w:type="dxa"/>
          </w:tcPr>
          <w:p w:rsidR="007D4BA9" w:rsidRDefault="007D4BA9">
            <w:pPr>
              <w:pStyle w:val="ConsPlusNormal"/>
            </w:pPr>
            <w:r>
              <w:t>кв. м общей площади</w:t>
            </w:r>
          </w:p>
        </w:tc>
        <w:tc>
          <w:tcPr>
            <w:tcW w:w="1277" w:type="dxa"/>
          </w:tcPr>
          <w:p w:rsidR="007D4BA9" w:rsidRDefault="007D4BA9">
            <w:pPr>
              <w:pStyle w:val="ConsPlusNormal"/>
              <w:jc w:val="center"/>
            </w:pPr>
            <w:r>
              <w:t>11,5</w:t>
            </w:r>
          </w:p>
        </w:tc>
        <w:tc>
          <w:tcPr>
            <w:tcW w:w="1136" w:type="dxa"/>
          </w:tcPr>
          <w:p w:rsidR="007D4BA9" w:rsidRDefault="007D4BA9">
            <w:pPr>
              <w:pStyle w:val="ConsPlusNormal"/>
              <w:jc w:val="center"/>
            </w:pPr>
            <w:r>
              <w:t>8,3</w:t>
            </w:r>
          </w:p>
        </w:tc>
        <w:tc>
          <w:tcPr>
            <w:tcW w:w="2324" w:type="dxa"/>
          </w:tcPr>
          <w:p w:rsidR="007D4BA9" w:rsidRDefault="007D4BA9">
            <w:pPr>
              <w:pStyle w:val="ConsPlusNormal"/>
              <w:jc w:val="center"/>
            </w:pPr>
            <w:r>
              <w:t>-</w:t>
            </w:r>
          </w:p>
        </w:tc>
      </w:tr>
      <w:tr w:rsidR="007D4BA9">
        <w:tc>
          <w:tcPr>
            <w:tcW w:w="2778" w:type="dxa"/>
          </w:tcPr>
          <w:p w:rsidR="007D4BA9" w:rsidRDefault="007D4BA9">
            <w:pPr>
              <w:pStyle w:val="ConsPlusNormal"/>
            </w:pPr>
            <w:r>
              <w:t>Культурно-развлекательные комплексы</w:t>
            </w:r>
          </w:p>
        </w:tc>
        <w:tc>
          <w:tcPr>
            <w:tcW w:w="1531" w:type="dxa"/>
          </w:tcPr>
          <w:p w:rsidR="007D4BA9" w:rsidRDefault="007D4BA9">
            <w:pPr>
              <w:pStyle w:val="ConsPlusNormal"/>
            </w:pPr>
            <w:r>
              <w:t>кв. м общей площади</w:t>
            </w:r>
          </w:p>
        </w:tc>
        <w:tc>
          <w:tcPr>
            <w:tcW w:w="1277" w:type="dxa"/>
          </w:tcPr>
          <w:p w:rsidR="007D4BA9" w:rsidRDefault="007D4BA9">
            <w:pPr>
              <w:pStyle w:val="ConsPlusNormal"/>
              <w:jc w:val="center"/>
            </w:pPr>
            <w:r>
              <w:t>14,2</w:t>
            </w:r>
          </w:p>
        </w:tc>
        <w:tc>
          <w:tcPr>
            <w:tcW w:w="1136" w:type="dxa"/>
          </w:tcPr>
          <w:p w:rsidR="007D4BA9" w:rsidRDefault="007D4BA9">
            <w:pPr>
              <w:pStyle w:val="ConsPlusNormal"/>
              <w:jc w:val="center"/>
            </w:pPr>
            <w:r>
              <w:t>10,2</w:t>
            </w:r>
          </w:p>
        </w:tc>
        <w:tc>
          <w:tcPr>
            <w:tcW w:w="2324" w:type="dxa"/>
          </w:tcPr>
          <w:p w:rsidR="007D4BA9" w:rsidRDefault="007D4BA9">
            <w:pPr>
              <w:pStyle w:val="ConsPlusNormal"/>
              <w:jc w:val="center"/>
            </w:pPr>
            <w:r>
              <w:t>-</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19" w:name="P1198"/>
      <w:bookmarkEnd w:id="19"/>
      <w:r>
        <w:t xml:space="preserve">&lt;*&gt; Расчетные показатели принимаются в соответствии с </w:t>
      </w:r>
      <w:hyperlink r:id="rId44">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 xml:space="preserve">Примечание. В условиях существующей застройки норма по минимальному показателю обеспеченности общей площадью зданий и размерам земельных участков, указанная в </w:t>
      </w:r>
      <w:hyperlink w:anchor="P1134">
        <w:r>
          <w:rPr>
            <w:color w:val="0000FF"/>
          </w:rPr>
          <w:t>таблице 14</w:t>
        </w:r>
      </w:hyperlink>
      <w:r>
        <w:t>, носит рекомендательный характер при условии обеспечения иных требований к объекту.</w:t>
      </w:r>
    </w:p>
    <w:p w:rsidR="007D4BA9" w:rsidRDefault="007D4BA9">
      <w:pPr>
        <w:pStyle w:val="ConsPlusNormal"/>
        <w:jc w:val="both"/>
      </w:pPr>
    </w:p>
    <w:p w:rsidR="007D4BA9" w:rsidRDefault="007D4BA9">
      <w:pPr>
        <w:pStyle w:val="ConsPlusTitle"/>
        <w:jc w:val="center"/>
        <w:outlineLvl w:val="2"/>
      </w:pPr>
      <w:r>
        <w:t>Глава 26. ОБЪЕКТЫ СПОРТИВНОГО НАЗНАЧЕНИЯ</w:t>
      </w:r>
    </w:p>
    <w:p w:rsidR="007D4BA9" w:rsidRDefault="007D4BA9">
      <w:pPr>
        <w:pStyle w:val="ConsPlusNormal"/>
        <w:jc w:val="both"/>
      </w:pPr>
    </w:p>
    <w:p w:rsidR="007D4BA9" w:rsidRDefault="007D4BA9">
      <w:pPr>
        <w:pStyle w:val="ConsPlusNormal"/>
        <w:ind w:firstLine="540"/>
        <w:jc w:val="both"/>
      </w:pPr>
      <w:r>
        <w:t>138. При расчете обеспеченности плоскостными спортивными сооружениями на территории многоэтажной застройки учитываются площадки для занятий физкультурой, которые входят в состав жилых планировочных единиц.</w:t>
      </w:r>
    </w:p>
    <w:p w:rsidR="007D4BA9" w:rsidRDefault="007D4BA9">
      <w:pPr>
        <w:pStyle w:val="ConsPlusNormal"/>
        <w:spacing w:before="220"/>
        <w:ind w:firstLine="540"/>
        <w:jc w:val="both"/>
      </w:pPr>
      <w:r>
        <w:t>139. Расчетные показатели минимально допустимого уровня обеспеченности населения и максимально допустимого уровня территориальной доступности объектов спортивного назначения приведены в таблице 15.</w:t>
      </w:r>
    </w:p>
    <w:p w:rsidR="007D4BA9" w:rsidRDefault="007D4BA9">
      <w:pPr>
        <w:pStyle w:val="ConsPlusNormal"/>
        <w:jc w:val="both"/>
      </w:pPr>
    </w:p>
    <w:p w:rsidR="007D4BA9" w:rsidRDefault="007D4BA9">
      <w:pPr>
        <w:pStyle w:val="ConsPlusNormal"/>
        <w:jc w:val="right"/>
        <w:outlineLvl w:val="3"/>
      </w:pPr>
      <w:r>
        <w:t>Таблица 15</w:t>
      </w:r>
    </w:p>
    <w:p w:rsidR="007D4BA9" w:rsidRDefault="007D4BA9">
      <w:pPr>
        <w:pStyle w:val="ConsPlusNormal"/>
        <w:jc w:val="both"/>
      </w:pPr>
    </w:p>
    <w:p w:rsidR="007D4BA9" w:rsidRDefault="007D4BA9">
      <w:pPr>
        <w:pStyle w:val="ConsPlusTitle"/>
        <w:jc w:val="center"/>
      </w:pPr>
      <w:bookmarkStart w:id="20" w:name="P1209"/>
      <w:bookmarkEnd w:id="20"/>
      <w:r>
        <w:t>Расчетные показатели минимально допустимого уровня</w:t>
      </w:r>
    </w:p>
    <w:p w:rsidR="007D4BA9" w:rsidRDefault="007D4BA9">
      <w:pPr>
        <w:pStyle w:val="ConsPlusTitle"/>
        <w:jc w:val="center"/>
      </w:pPr>
      <w:r>
        <w:t>обеспеченности населения и максимально допустимого уровня</w:t>
      </w:r>
    </w:p>
    <w:p w:rsidR="007D4BA9" w:rsidRDefault="007D4BA9">
      <w:pPr>
        <w:pStyle w:val="ConsPlusTitle"/>
        <w:jc w:val="center"/>
      </w:pPr>
      <w:r>
        <w:t>территориальной доступности объектов спортивного назначения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991"/>
        <w:gridCol w:w="1278"/>
        <w:gridCol w:w="1274"/>
        <w:gridCol w:w="1277"/>
        <w:gridCol w:w="1701"/>
      </w:tblGrid>
      <w:tr w:rsidR="007D4BA9">
        <w:tc>
          <w:tcPr>
            <w:tcW w:w="2494" w:type="dxa"/>
            <w:vMerge w:val="restart"/>
          </w:tcPr>
          <w:p w:rsidR="007D4BA9" w:rsidRDefault="007D4BA9">
            <w:pPr>
              <w:pStyle w:val="ConsPlusNormal"/>
              <w:jc w:val="center"/>
            </w:pPr>
            <w:r>
              <w:t>Объекты социальной инфраструктуры</w:t>
            </w:r>
          </w:p>
        </w:tc>
        <w:tc>
          <w:tcPr>
            <w:tcW w:w="991" w:type="dxa"/>
            <w:vMerge w:val="restart"/>
          </w:tcPr>
          <w:p w:rsidR="007D4BA9" w:rsidRDefault="007D4BA9">
            <w:pPr>
              <w:pStyle w:val="ConsPlusNormal"/>
              <w:jc w:val="center"/>
            </w:pPr>
            <w:r>
              <w:t xml:space="preserve">Радиус обслуживания, м </w:t>
            </w:r>
            <w:hyperlink w:anchor="P1252">
              <w:r>
                <w:rPr>
                  <w:color w:val="0000FF"/>
                </w:rPr>
                <w:t>&lt;*&gt;</w:t>
              </w:r>
            </w:hyperlink>
          </w:p>
        </w:tc>
        <w:tc>
          <w:tcPr>
            <w:tcW w:w="1278" w:type="dxa"/>
            <w:vMerge w:val="restart"/>
          </w:tcPr>
          <w:p w:rsidR="007D4BA9" w:rsidRDefault="007D4BA9">
            <w:pPr>
              <w:pStyle w:val="ConsPlusNormal"/>
              <w:jc w:val="center"/>
            </w:pPr>
            <w:r>
              <w:t xml:space="preserve">Расчетное количеств о населения в радиусе территориальной доступности, тыс. чел. </w:t>
            </w:r>
            <w:hyperlink w:anchor="P1252">
              <w:r>
                <w:rPr>
                  <w:color w:val="0000FF"/>
                </w:rPr>
                <w:t>&lt;*&gt;</w:t>
              </w:r>
            </w:hyperlink>
          </w:p>
        </w:tc>
        <w:tc>
          <w:tcPr>
            <w:tcW w:w="2551" w:type="dxa"/>
            <w:gridSpan w:val="2"/>
          </w:tcPr>
          <w:p w:rsidR="007D4BA9" w:rsidRDefault="007D4BA9">
            <w:pPr>
              <w:pStyle w:val="ConsPlusNormal"/>
              <w:jc w:val="center"/>
            </w:pPr>
            <w:r>
              <w:t xml:space="preserve">Расчетные показатели минимальной обеспеченности </w:t>
            </w:r>
            <w:hyperlink w:anchor="P1252">
              <w:r>
                <w:rPr>
                  <w:color w:val="0000FF"/>
                </w:rPr>
                <w:t>&lt;*&gt;</w:t>
              </w:r>
            </w:hyperlink>
          </w:p>
        </w:tc>
        <w:tc>
          <w:tcPr>
            <w:tcW w:w="1701" w:type="dxa"/>
            <w:vMerge w:val="restart"/>
          </w:tcPr>
          <w:p w:rsidR="007D4BA9" w:rsidRDefault="007D4BA9">
            <w:pPr>
              <w:pStyle w:val="ConsPlusNormal"/>
              <w:jc w:val="center"/>
            </w:pPr>
            <w:r>
              <w:t xml:space="preserve">Размеры земельных участков </w:t>
            </w:r>
            <w:hyperlink w:anchor="P1252">
              <w:r>
                <w:rPr>
                  <w:color w:val="0000FF"/>
                </w:rPr>
                <w:t>&lt;*&gt;</w:t>
              </w:r>
            </w:hyperlink>
          </w:p>
        </w:tc>
      </w:tr>
      <w:tr w:rsidR="007D4BA9">
        <w:tc>
          <w:tcPr>
            <w:tcW w:w="2494" w:type="dxa"/>
            <w:vMerge/>
          </w:tcPr>
          <w:p w:rsidR="007D4BA9" w:rsidRDefault="007D4BA9">
            <w:pPr>
              <w:pStyle w:val="ConsPlusNormal"/>
            </w:pPr>
          </w:p>
        </w:tc>
        <w:tc>
          <w:tcPr>
            <w:tcW w:w="991" w:type="dxa"/>
            <w:vMerge/>
          </w:tcPr>
          <w:p w:rsidR="007D4BA9" w:rsidRDefault="007D4BA9">
            <w:pPr>
              <w:pStyle w:val="ConsPlusNormal"/>
            </w:pPr>
          </w:p>
        </w:tc>
        <w:tc>
          <w:tcPr>
            <w:tcW w:w="1278" w:type="dxa"/>
            <w:vMerge/>
          </w:tcPr>
          <w:p w:rsidR="007D4BA9" w:rsidRDefault="007D4BA9">
            <w:pPr>
              <w:pStyle w:val="ConsPlusNormal"/>
            </w:pPr>
          </w:p>
        </w:tc>
        <w:tc>
          <w:tcPr>
            <w:tcW w:w="1274" w:type="dxa"/>
          </w:tcPr>
          <w:p w:rsidR="007D4BA9" w:rsidRDefault="007D4BA9">
            <w:pPr>
              <w:pStyle w:val="ConsPlusNormal"/>
              <w:jc w:val="center"/>
            </w:pPr>
            <w:r>
              <w:t>на 10 тыс. кв. м общей площади квартир</w:t>
            </w:r>
          </w:p>
        </w:tc>
        <w:tc>
          <w:tcPr>
            <w:tcW w:w="1277" w:type="dxa"/>
          </w:tcPr>
          <w:p w:rsidR="007D4BA9" w:rsidRDefault="007D4BA9">
            <w:pPr>
              <w:pStyle w:val="ConsPlusNormal"/>
              <w:jc w:val="center"/>
            </w:pPr>
            <w:r>
              <w:t>на 100 домовладений ИЖС</w:t>
            </w:r>
          </w:p>
        </w:tc>
        <w:tc>
          <w:tcPr>
            <w:tcW w:w="1701" w:type="dxa"/>
            <w:vMerge/>
          </w:tcPr>
          <w:p w:rsidR="007D4BA9" w:rsidRDefault="007D4BA9">
            <w:pPr>
              <w:pStyle w:val="ConsPlusNormal"/>
            </w:pPr>
          </w:p>
        </w:tc>
      </w:tr>
      <w:tr w:rsidR="007D4BA9">
        <w:tc>
          <w:tcPr>
            <w:tcW w:w="2494" w:type="dxa"/>
          </w:tcPr>
          <w:p w:rsidR="007D4BA9" w:rsidRDefault="007D4BA9">
            <w:pPr>
              <w:pStyle w:val="ConsPlusNormal"/>
              <w:jc w:val="both"/>
            </w:pPr>
            <w:r>
              <w:lastRenderedPageBreak/>
              <w:t>Физкультурно-оздоровительные комплексы (с залом, бассейном, катком), в том числе для занятий спортом маломобильных групп населения</w:t>
            </w:r>
          </w:p>
        </w:tc>
        <w:tc>
          <w:tcPr>
            <w:tcW w:w="991" w:type="dxa"/>
          </w:tcPr>
          <w:p w:rsidR="007D4BA9" w:rsidRDefault="007D4BA9">
            <w:pPr>
              <w:pStyle w:val="ConsPlusNormal"/>
              <w:jc w:val="center"/>
            </w:pPr>
            <w:r>
              <w:t>1500</w:t>
            </w:r>
          </w:p>
        </w:tc>
        <w:tc>
          <w:tcPr>
            <w:tcW w:w="1278" w:type="dxa"/>
          </w:tcPr>
          <w:p w:rsidR="007D4BA9" w:rsidRDefault="007D4BA9">
            <w:pPr>
              <w:pStyle w:val="ConsPlusNormal"/>
              <w:jc w:val="center"/>
            </w:pPr>
            <w:r>
              <w:t>до 80</w:t>
            </w:r>
          </w:p>
        </w:tc>
        <w:tc>
          <w:tcPr>
            <w:tcW w:w="1274" w:type="dxa"/>
          </w:tcPr>
          <w:p w:rsidR="007D4BA9" w:rsidRDefault="007D4BA9">
            <w:pPr>
              <w:pStyle w:val="ConsPlusNormal"/>
              <w:jc w:val="center"/>
            </w:pPr>
            <w:r>
              <w:t>84 кв. м общей площади</w:t>
            </w:r>
          </w:p>
        </w:tc>
        <w:tc>
          <w:tcPr>
            <w:tcW w:w="1277" w:type="dxa"/>
          </w:tcPr>
          <w:p w:rsidR="007D4BA9" w:rsidRDefault="007D4BA9">
            <w:pPr>
              <w:pStyle w:val="ConsPlusNormal"/>
              <w:jc w:val="center"/>
            </w:pPr>
            <w:r>
              <w:t>61 кв. м общей площади</w:t>
            </w:r>
          </w:p>
        </w:tc>
        <w:tc>
          <w:tcPr>
            <w:tcW w:w="1701" w:type="dxa"/>
          </w:tcPr>
          <w:p w:rsidR="007D4BA9" w:rsidRDefault="007D4BA9">
            <w:pPr>
              <w:pStyle w:val="ConsPlusNormal"/>
              <w:jc w:val="center"/>
            </w:pPr>
            <w:r>
              <w:t>-</w:t>
            </w:r>
          </w:p>
        </w:tc>
      </w:tr>
      <w:tr w:rsidR="007D4BA9">
        <w:tc>
          <w:tcPr>
            <w:tcW w:w="2494" w:type="dxa"/>
          </w:tcPr>
          <w:p w:rsidR="007D4BA9" w:rsidRDefault="007D4BA9">
            <w:pPr>
              <w:pStyle w:val="ConsPlusNormal"/>
              <w:jc w:val="both"/>
            </w:pPr>
            <w:r>
              <w:t>Открытые плоскостные физкультурно-спортивные сооружения (физкультурно-оздоровительный комплекс, футбольное поле)</w:t>
            </w:r>
          </w:p>
        </w:tc>
        <w:tc>
          <w:tcPr>
            <w:tcW w:w="991" w:type="dxa"/>
          </w:tcPr>
          <w:p w:rsidR="007D4BA9" w:rsidRDefault="007D4BA9">
            <w:pPr>
              <w:pStyle w:val="ConsPlusNormal"/>
              <w:jc w:val="center"/>
            </w:pPr>
            <w:r>
              <w:t>1000</w:t>
            </w:r>
          </w:p>
        </w:tc>
        <w:tc>
          <w:tcPr>
            <w:tcW w:w="1278" w:type="dxa"/>
          </w:tcPr>
          <w:p w:rsidR="007D4BA9" w:rsidRDefault="007D4BA9">
            <w:pPr>
              <w:pStyle w:val="ConsPlusNormal"/>
              <w:jc w:val="center"/>
            </w:pPr>
            <w:r>
              <w:t>до 25</w:t>
            </w:r>
          </w:p>
        </w:tc>
        <w:tc>
          <w:tcPr>
            <w:tcW w:w="1274" w:type="dxa"/>
          </w:tcPr>
          <w:p w:rsidR="007D4BA9" w:rsidRDefault="007D4BA9">
            <w:pPr>
              <w:pStyle w:val="ConsPlusNormal"/>
              <w:jc w:val="center"/>
            </w:pPr>
            <w:r>
              <w:t>0,9 тыс. кв. м</w:t>
            </w:r>
          </w:p>
        </w:tc>
        <w:tc>
          <w:tcPr>
            <w:tcW w:w="1277" w:type="dxa"/>
          </w:tcPr>
          <w:p w:rsidR="007D4BA9" w:rsidRDefault="007D4BA9">
            <w:pPr>
              <w:pStyle w:val="ConsPlusNormal"/>
              <w:jc w:val="center"/>
            </w:pPr>
            <w:r>
              <w:t>0,6 тыс. кв. м</w:t>
            </w:r>
          </w:p>
        </w:tc>
        <w:tc>
          <w:tcPr>
            <w:tcW w:w="1701" w:type="dxa"/>
          </w:tcPr>
          <w:p w:rsidR="007D4BA9" w:rsidRDefault="007D4BA9">
            <w:pPr>
              <w:pStyle w:val="ConsPlusNormal"/>
            </w:pPr>
            <w:r>
              <w:t>0,36 га на 10 тыс. кв. м общей площади квартир</w:t>
            </w:r>
          </w:p>
        </w:tc>
      </w:tr>
      <w:tr w:rsidR="007D4BA9">
        <w:tc>
          <w:tcPr>
            <w:tcW w:w="2494" w:type="dxa"/>
          </w:tcPr>
          <w:p w:rsidR="007D4BA9" w:rsidRDefault="007D4BA9">
            <w:pPr>
              <w:pStyle w:val="ConsPlusNormal"/>
              <w:jc w:val="both"/>
            </w:pPr>
            <w:r>
              <w:t>Спортивно-тренажерные залы повседневного обслуживания, в том числе спортивные залы общего пользования</w:t>
            </w:r>
          </w:p>
        </w:tc>
        <w:tc>
          <w:tcPr>
            <w:tcW w:w="991" w:type="dxa"/>
          </w:tcPr>
          <w:p w:rsidR="007D4BA9" w:rsidRDefault="007D4BA9">
            <w:pPr>
              <w:pStyle w:val="ConsPlusNormal"/>
              <w:jc w:val="center"/>
            </w:pPr>
            <w:r>
              <w:t>1500</w:t>
            </w:r>
          </w:p>
        </w:tc>
        <w:tc>
          <w:tcPr>
            <w:tcW w:w="1278" w:type="dxa"/>
          </w:tcPr>
          <w:p w:rsidR="007D4BA9" w:rsidRDefault="007D4BA9">
            <w:pPr>
              <w:pStyle w:val="ConsPlusNormal"/>
              <w:jc w:val="center"/>
            </w:pPr>
            <w:r>
              <w:t>до 80</w:t>
            </w:r>
          </w:p>
        </w:tc>
        <w:tc>
          <w:tcPr>
            <w:tcW w:w="1274" w:type="dxa"/>
          </w:tcPr>
          <w:p w:rsidR="007D4BA9" w:rsidRDefault="007D4BA9">
            <w:pPr>
              <w:pStyle w:val="ConsPlusNormal"/>
              <w:jc w:val="center"/>
            </w:pPr>
            <w:r>
              <w:t>57,7 кв. м площади пола</w:t>
            </w:r>
          </w:p>
        </w:tc>
        <w:tc>
          <w:tcPr>
            <w:tcW w:w="1277" w:type="dxa"/>
          </w:tcPr>
          <w:p w:rsidR="007D4BA9" w:rsidRDefault="007D4BA9">
            <w:pPr>
              <w:pStyle w:val="ConsPlusNormal"/>
              <w:jc w:val="center"/>
            </w:pPr>
            <w:r>
              <w:t>41,6 кв. м площади пола</w:t>
            </w:r>
          </w:p>
        </w:tc>
        <w:tc>
          <w:tcPr>
            <w:tcW w:w="1701" w:type="dxa"/>
          </w:tcPr>
          <w:p w:rsidR="007D4BA9" w:rsidRDefault="007D4BA9">
            <w:pPr>
              <w:pStyle w:val="ConsPlusNormal"/>
              <w:jc w:val="center"/>
            </w:pPr>
            <w:r>
              <w:t>-</w:t>
            </w:r>
          </w:p>
        </w:tc>
      </w:tr>
      <w:tr w:rsidR="007D4BA9">
        <w:tc>
          <w:tcPr>
            <w:tcW w:w="2494" w:type="dxa"/>
          </w:tcPr>
          <w:p w:rsidR="007D4BA9" w:rsidRDefault="007D4BA9">
            <w:pPr>
              <w:pStyle w:val="ConsPlusNormal"/>
              <w:jc w:val="both"/>
            </w:pPr>
            <w:r>
              <w:t>Бассейны (открытые и закрытые общего пользования)</w:t>
            </w:r>
          </w:p>
        </w:tc>
        <w:tc>
          <w:tcPr>
            <w:tcW w:w="991" w:type="dxa"/>
          </w:tcPr>
          <w:p w:rsidR="007D4BA9" w:rsidRDefault="007D4BA9">
            <w:pPr>
              <w:pStyle w:val="ConsPlusNormal"/>
              <w:jc w:val="center"/>
            </w:pPr>
            <w:r>
              <w:t>1500</w:t>
            </w:r>
          </w:p>
        </w:tc>
        <w:tc>
          <w:tcPr>
            <w:tcW w:w="1278" w:type="dxa"/>
          </w:tcPr>
          <w:p w:rsidR="007D4BA9" w:rsidRDefault="007D4BA9">
            <w:pPr>
              <w:pStyle w:val="ConsPlusNormal"/>
              <w:jc w:val="center"/>
            </w:pPr>
            <w:r>
              <w:t>до 80</w:t>
            </w:r>
          </w:p>
        </w:tc>
        <w:tc>
          <w:tcPr>
            <w:tcW w:w="1274" w:type="dxa"/>
          </w:tcPr>
          <w:p w:rsidR="007D4BA9" w:rsidRDefault="007D4BA9">
            <w:pPr>
              <w:pStyle w:val="ConsPlusNormal"/>
              <w:jc w:val="center"/>
            </w:pPr>
            <w:r>
              <w:t>Не менее 8,9 кв. м зеркала воды</w:t>
            </w:r>
          </w:p>
        </w:tc>
        <w:tc>
          <w:tcPr>
            <w:tcW w:w="1277" w:type="dxa"/>
          </w:tcPr>
          <w:p w:rsidR="007D4BA9" w:rsidRDefault="007D4BA9">
            <w:pPr>
              <w:pStyle w:val="ConsPlusNormal"/>
              <w:jc w:val="center"/>
            </w:pPr>
            <w:r>
              <w:t>Не менее 6,4 кв. м зеркала воды</w:t>
            </w:r>
          </w:p>
        </w:tc>
        <w:tc>
          <w:tcPr>
            <w:tcW w:w="1701" w:type="dxa"/>
          </w:tcPr>
          <w:p w:rsidR="007D4BA9" w:rsidRDefault="007D4BA9">
            <w:pPr>
              <w:pStyle w:val="ConsPlusNormal"/>
            </w:pPr>
            <w:r>
              <w:t>1,5 - 1,0 га на объект</w:t>
            </w:r>
          </w:p>
        </w:tc>
      </w:tr>
      <w:tr w:rsidR="007D4BA9">
        <w:tc>
          <w:tcPr>
            <w:tcW w:w="2494" w:type="dxa"/>
          </w:tcPr>
          <w:p w:rsidR="007D4BA9" w:rsidRDefault="007D4BA9">
            <w:pPr>
              <w:pStyle w:val="ConsPlusNormal"/>
              <w:jc w:val="both"/>
            </w:pPr>
            <w:r>
              <w:t xml:space="preserve">Специализированные спортивные сооружения (конноспортивные комплексы, легкоатлетические манежи, стадионы, </w:t>
            </w:r>
            <w:proofErr w:type="spellStart"/>
            <w:r>
              <w:t>биатлонно</w:t>
            </w:r>
            <w:proofErr w:type="spellEnd"/>
            <w:r>
              <w:t>-лыжные комплексы, горнолыжные комплексы, ледовые арены, автодромы, велотреки, гребные каналы, сноуборд-парки, парки для экстремальных видов спорта, стрельбища и др.), в том числе для занятий спортом маломобильных групп населения</w:t>
            </w:r>
          </w:p>
        </w:tc>
        <w:tc>
          <w:tcPr>
            <w:tcW w:w="991" w:type="dxa"/>
          </w:tcPr>
          <w:p w:rsidR="007D4BA9" w:rsidRDefault="007D4BA9">
            <w:pPr>
              <w:pStyle w:val="ConsPlusNormal"/>
              <w:jc w:val="center"/>
            </w:pPr>
            <w:r>
              <w:t>2000</w:t>
            </w:r>
          </w:p>
        </w:tc>
        <w:tc>
          <w:tcPr>
            <w:tcW w:w="1278" w:type="dxa"/>
          </w:tcPr>
          <w:p w:rsidR="007D4BA9" w:rsidRDefault="007D4BA9">
            <w:pPr>
              <w:pStyle w:val="ConsPlusNormal"/>
              <w:jc w:val="center"/>
            </w:pPr>
            <w:r>
              <w:t>до 100</w:t>
            </w:r>
          </w:p>
        </w:tc>
        <w:tc>
          <w:tcPr>
            <w:tcW w:w="1274" w:type="dxa"/>
          </w:tcPr>
          <w:p w:rsidR="007D4BA9" w:rsidRDefault="007D4BA9">
            <w:pPr>
              <w:pStyle w:val="ConsPlusNormal"/>
              <w:jc w:val="center"/>
            </w:pPr>
            <w:r>
              <w:t>122 кв. м общей площади</w:t>
            </w:r>
          </w:p>
        </w:tc>
        <w:tc>
          <w:tcPr>
            <w:tcW w:w="1277" w:type="dxa"/>
          </w:tcPr>
          <w:p w:rsidR="007D4BA9" w:rsidRDefault="007D4BA9">
            <w:pPr>
              <w:pStyle w:val="ConsPlusNormal"/>
              <w:jc w:val="center"/>
            </w:pPr>
            <w:r>
              <w:t>88 кв. м общей площади</w:t>
            </w:r>
          </w:p>
        </w:tc>
        <w:tc>
          <w:tcPr>
            <w:tcW w:w="1701" w:type="dxa"/>
          </w:tcPr>
          <w:p w:rsidR="007D4BA9" w:rsidRDefault="007D4BA9">
            <w:pPr>
              <w:pStyle w:val="ConsPlusNormal"/>
              <w:jc w:val="center"/>
            </w:pPr>
            <w:r>
              <w:t>-</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21" w:name="P1252"/>
      <w:bookmarkEnd w:id="21"/>
      <w:r>
        <w:t xml:space="preserve">&lt;*&gt; Расчетные показатели принимаются в соответствии с </w:t>
      </w:r>
      <w:hyperlink r:id="rId45">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 xml:space="preserve">Примечание. В условиях существующей застройки норма по минимальному показателю </w:t>
      </w:r>
      <w:r>
        <w:lastRenderedPageBreak/>
        <w:t xml:space="preserve">обеспеченности общей площадью зданий и размерам земельных участков, указанная в </w:t>
      </w:r>
      <w:hyperlink w:anchor="P1209">
        <w:r>
          <w:rPr>
            <w:color w:val="0000FF"/>
          </w:rPr>
          <w:t>таблице 15</w:t>
        </w:r>
      </w:hyperlink>
      <w:r>
        <w:t>, носит рекомендательный характер при условии обеспечения иных требований к объекту. Единовременная пропускная способность физкультурно-спортивных сооружений, необходимых для обеспечения минимальной двигательной активности населения, определяется как 12,2 процента от численности населения.</w:t>
      </w:r>
    </w:p>
    <w:p w:rsidR="007D4BA9" w:rsidRDefault="007D4BA9">
      <w:pPr>
        <w:pStyle w:val="ConsPlusNormal"/>
        <w:jc w:val="both"/>
      </w:pPr>
    </w:p>
    <w:p w:rsidR="007D4BA9" w:rsidRDefault="007D4BA9">
      <w:pPr>
        <w:pStyle w:val="ConsPlusTitle"/>
        <w:jc w:val="center"/>
        <w:outlineLvl w:val="2"/>
      </w:pPr>
      <w:r>
        <w:t>Глава 27. ОБЪЕКТЫ ТОРГОВО-БЫТОВОГО НАЗНАЧЕНИЯ</w:t>
      </w:r>
    </w:p>
    <w:p w:rsidR="007D4BA9" w:rsidRDefault="007D4BA9">
      <w:pPr>
        <w:pStyle w:val="ConsPlusNormal"/>
        <w:jc w:val="both"/>
      </w:pPr>
    </w:p>
    <w:p w:rsidR="007D4BA9" w:rsidRDefault="007D4BA9">
      <w:pPr>
        <w:pStyle w:val="ConsPlusNormal"/>
        <w:ind w:firstLine="540"/>
        <w:jc w:val="both"/>
      </w:pPr>
      <w:r>
        <w:t>140. Потребность в предприятиях общественного питания на производственных предприятиях, в учреждениях, организациях и учебных заведениях рассчитывается по ведомственным нормативам на 1 тыс. работающих (учащихся) в максимальную смену. Заготовочные предприятия общественного питания рассчитываются по норме 300 кг в сутки на 1 тыс. человек.</w:t>
      </w:r>
    </w:p>
    <w:p w:rsidR="007D4BA9" w:rsidRDefault="007D4BA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7D4BA9">
        <w:tc>
          <w:tcPr>
            <w:tcW w:w="60" w:type="dxa"/>
            <w:tcBorders>
              <w:top w:val="nil"/>
              <w:left w:val="nil"/>
              <w:bottom w:val="nil"/>
              <w:right w:val="nil"/>
            </w:tcBorders>
            <w:shd w:val="clear" w:color="auto" w:fill="CED3F1"/>
            <w:tcMar>
              <w:top w:w="0" w:type="dxa"/>
              <w:left w:w="0" w:type="dxa"/>
              <w:bottom w:w="0" w:type="dxa"/>
              <w:right w:w="0" w:type="dxa"/>
            </w:tcMar>
          </w:tcPr>
          <w:p w:rsidR="007D4BA9" w:rsidRDefault="007D4BA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7D4BA9" w:rsidRDefault="007D4BA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7D4BA9" w:rsidRDefault="007D4BA9">
            <w:pPr>
              <w:pStyle w:val="ConsPlusNormal"/>
              <w:jc w:val="both"/>
            </w:pPr>
            <w:proofErr w:type="spellStart"/>
            <w:r>
              <w:rPr>
                <w:color w:val="392C69"/>
              </w:rPr>
              <w:t>КонсультантПлюс</w:t>
            </w:r>
            <w:proofErr w:type="spellEnd"/>
            <w:r>
              <w:rPr>
                <w:color w:val="392C69"/>
              </w:rPr>
              <w:t>: примечание.</w:t>
            </w:r>
          </w:p>
          <w:p w:rsidR="007D4BA9" w:rsidRDefault="007D4BA9">
            <w:pPr>
              <w:pStyle w:val="ConsPlusNormal"/>
              <w:jc w:val="both"/>
            </w:pPr>
            <w:r>
              <w:rPr>
                <w:color w:val="392C69"/>
              </w:rPr>
              <w:t>Нумерация 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7D4BA9" w:rsidRDefault="007D4BA9">
            <w:pPr>
              <w:pStyle w:val="ConsPlusNormal"/>
            </w:pPr>
          </w:p>
        </w:tc>
      </w:tr>
    </w:tbl>
    <w:p w:rsidR="007D4BA9" w:rsidRDefault="007D4BA9">
      <w:pPr>
        <w:pStyle w:val="ConsPlusNormal"/>
        <w:spacing w:before="280"/>
        <w:ind w:firstLine="540"/>
        <w:jc w:val="both"/>
      </w:pPr>
      <w:r>
        <w:t>142. Для зон массового отдыха следует учитывать нормы предприятий общественного питания: 1,1 - 1,8 места на 1 тыс. человек.</w:t>
      </w:r>
    </w:p>
    <w:p w:rsidR="007D4BA9" w:rsidRDefault="007D4BA9">
      <w:pPr>
        <w:pStyle w:val="ConsPlusNormal"/>
        <w:spacing w:before="220"/>
        <w:ind w:firstLine="540"/>
        <w:jc w:val="both"/>
      </w:pPr>
      <w:r>
        <w:t xml:space="preserve">143. Расчетные показатели минимальной обеспеченности населения объектами торгово-бытового назначения приведены в </w:t>
      </w:r>
      <w:hyperlink w:anchor="P1266">
        <w:r>
          <w:rPr>
            <w:color w:val="0000FF"/>
          </w:rPr>
          <w:t>таблице 16</w:t>
        </w:r>
      </w:hyperlink>
      <w:r>
        <w:t>. Нормы расчета включают всю сеть предприятий торгово-бытового назначения независимо от их ведомственной принадлежности.</w:t>
      </w:r>
    </w:p>
    <w:p w:rsidR="007D4BA9" w:rsidRDefault="007D4BA9">
      <w:pPr>
        <w:pStyle w:val="ConsPlusNormal"/>
        <w:jc w:val="both"/>
      </w:pPr>
    </w:p>
    <w:p w:rsidR="007D4BA9" w:rsidRDefault="007D4BA9">
      <w:pPr>
        <w:pStyle w:val="ConsPlusNormal"/>
        <w:jc w:val="right"/>
        <w:outlineLvl w:val="3"/>
      </w:pPr>
      <w:r>
        <w:t>Таблица 16</w:t>
      </w:r>
    </w:p>
    <w:p w:rsidR="007D4BA9" w:rsidRDefault="007D4BA9">
      <w:pPr>
        <w:pStyle w:val="ConsPlusNormal"/>
        <w:jc w:val="both"/>
      </w:pPr>
    </w:p>
    <w:p w:rsidR="007D4BA9" w:rsidRDefault="007D4BA9">
      <w:pPr>
        <w:pStyle w:val="ConsPlusTitle"/>
        <w:jc w:val="center"/>
      </w:pPr>
      <w:bookmarkStart w:id="22" w:name="P1266"/>
      <w:bookmarkEnd w:id="22"/>
      <w:r>
        <w:t>Расчетные показатели минимальной обеспеченности населения</w:t>
      </w:r>
    </w:p>
    <w:p w:rsidR="007D4BA9" w:rsidRDefault="007D4BA9">
      <w:pPr>
        <w:pStyle w:val="ConsPlusTitle"/>
        <w:jc w:val="center"/>
      </w:pPr>
      <w:r>
        <w:t>объектами торгово-бытового назначения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324"/>
        <w:gridCol w:w="1644"/>
        <w:gridCol w:w="1516"/>
        <w:gridCol w:w="1928"/>
        <w:gridCol w:w="1644"/>
      </w:tblGrid>
      <w:tr w:rsidR="007D4BA9">
        <w:tc>
          <w:tcPr>
            <w:tcW w:w="2324" w:type="dxa"/>
            <w:vMerge w:val="restart"/>
          </w:tcPr>
          <w:p w:rsidR="007D4BA9" w:rsidRDefault="007D4BA9">
            <w:pPr>
              <w:pStyle w:val="ConsPlusNormal"/>
              <w:jc w:val="center"/>
            </w:pPr>
            <w:r>
              <w:t>Объект</w:t>
            </w:r>
          </w:p>
        </w:tc>
        <w:tc>
          <w:tcPr>
            <w:tcW w:w="3160" w:type="dxa"/>
            <w:gridSpan w:val="2"/>
          </w:tcPr>
          <w:p w:rsidR="007D4BA9" w:rsidRDefault="007D4BA9">
            <w:pPr>
              <w:pStyle w:val="ConsPlusNormal"/>
              <w:jc w:val="center"/>
            </w:pPr>
            <w:r>
              <w:t xml:space="preserve">Расчетные показатели минимальной обеспеченности </w:t>
            </w:r>
            <w:hyperlink w:anchor="P1361">
              <w:r>
                <w:rPr>
                  <w:color w:val="0000FF"/>
                </w:rPr>
                <w:t>&lt;*&gt;</w:t>
              </w:r>
            </w:hyperlink>
          </w:p>
        </w:tc>
        <w:tc>
          <w:tcPr>
            <w:tcW w:w="1928" w:type="dxa"/>
            <w:vMerge w:val="restart"/>
          </w:tcPr>
          <w:p w:rsidR="007D4BA9" w:rsidRDefault="007D4BA9">
            <w:pPr>
              <w:pStyle w:val="ConsPlusNormal"/>
              <w:jc w:val="center"/>
            </w:pPr>
            <w:r>
              <w:t xml:space="preserve">Минимальные показатели обеспеченности общей площадью здания, кв. м общей площади на ед. изм. </w:t>
            </w:r>
            <w:hyperlink w:anchor="P1361">
              <w:r>
                <w:rPr>
                  <w:color w:val="0000FF"/>
                </w:rPr>
                <w:t>&lt;*&gt;</w:t>
              </w:r>
            </w:hyperlink>
          </w:p>
        </w:tc>
        <w:tc>
          <w:tcPr>
            <w:tcW w:w="1644" w:type="dxa"/>
            <w:vMerge w:val="restart"/>
          </w:tcPr>
          <w:p w:rsidR="007D4BA9" w:rsidRDefault="007D4BA9">
            <w:pPr>
              <w:pStyle w:val="ConsPlusNormal"/>
              <w:jc w:val="center"/>
            </w:pPr>
            <w:r>
              <w:t xml:space="preserve">Размеры земельных участков </w:t>
            </w:r>
            <w:hyperlink w:anchor="P1361">
              <w:r>
                <w:rPr>
                  <w:color w:val="0000FF"/>
                </w:rPr>
                <w:t>&lt;*&gt;</w:t>
              </w:r>
            </w:hyperlink>
          </w:p>
        </w:tc>
      </w:tr>
      <w:tr w:rsidR="007D4BA9">
        <w:tc>
          <w:tcPr>
            <w:tcW w:w="2324" w:type="dxa"/>
            <w:vMerge/>
          </w:tcPr>
          <w:p w:rsidR="007D4BA9" w:rsidRDefault="007D4BA9">
            <w:pPr>
              <w:pStyle w:val="ConsPlusNormal"/>
            </w:pPr>
          </w:p>
        </w:tc>
        <w:tc>
          <w:tcPr>
            <w:tcW w:w="1644" w:type="dxa"/>
          </w:tcPr>
          <w:p w:rsidR="007D4BA9" w:rsidRDefault="007D4BA9">
            <w:pPr>
              <w:pStyle w:val="ConsPlusNormal"/>
              <w:jc w:val="center"/>
            </w:pPr>
            <w:r>
              <w:t>на 10 тыс. кв. м общей площади квартир</w:t>
            </w:r>
          </w:p>
        </w:tc>
        <w:tc>
          <w:tcPr>
            <w:tcW w:w="1516" w:type="dxa"/>
          </w:tcPr>
          <w:p w:rsidR="007D4BA9" w:rsidRDefault="007D4BA9">
            <w:pPr>
              <w:pStyle w:val="ConsPlusNormal"/>
              <w:jc w:val="center"/>
            </w:pPr>
            <w:r>
              <w:t>на 100 домовладений ИЖС</w:t>
            </w:r>
          </w:p>
        </w:tc>
        <w:tc>
          <w:tcPr>
            <w:tcW w:w="1928" w:type="dxa"/>
            <w:vMerge/>
          </w:tcPr>
          <w:p w:rsidR="007D4BA9" w:rsidRDefault="007D4BA9">
            <w:pPr>
              <w:pStyle w:val="ConsPlusNormal"/>
            </w:pPr>
          </w:p>
        </w:tc>
        <w:tc>
          <w:tcPr>
            <w:tcW w:w="1644" w:type="dxa"/>
            <w:vMerge/>
          </w:tcPr>
          <w:p w:rsidR="007D4BA9" w:rsidRDefault="007D4BA9">
            <w:pPr>
              <w:pStyle w:val="ConsPlusNormal"/>
            </w:pPr>
          </w:p>
        </w:tc>
      </w:tr>
      <w:tr w:rsidR="007D4BA9">
        <w:tc>
          <w:tcPr>
            <w:tcW w:w="2324" w:type="dxa"/>
          </w:tcPr>
          <w:p w:rsidR="007D4BA9" w:rsidRDefault="007D4BA9">
            <w:pPr>
              <w:pStyle w:val="ConsPlusNormal"/>
            </w:pPr>
            <w:r>
              <w:t xml:space="preserve">Магазины продовольственных товаров (гастроном, </w:t>
            </w:r>
            <w:proofErr w:type="spellStart"/>
            <w:r>
              <w:t>минимаркет</w:t>
            </w:r>
            <w:proofErr w:type="spellEnd"/>
            <w:r>
              <w:t>, специализированные магазины: "Хлеб", "Молоко" и прочее)</w:t>
            </w:r>
          </w:p>
        </w:tc>
        <w:tc>
          <w:tcPr>
            <w:tcW w:w="1644" w:type="dxa"/>
          </w:tcPr>
          <w:p w:rsidR="007D4BA9" w:rsidRDefault="007D4BA9">
            <w:pPr>
              <w:pStyle w:val="ConsPlusNormal"/>
              <w:jc w:val="center"/>
            </w:pPr>
            <w:r>
              <w:t>73,7 (31) кв. м торговой Площади</w:t>
            </w:r>
          </w:p>
        </w:tc>
        <w:tc>
          <w:tcPr>
            <w:tcW w:w="1516" w:type="dxa"/>
          </w:tcPr>
          <w:p w:rsidR="007D4BA9" w:rsidRDefault="007D4BA9">
            <w:pPr>
              <w:pStyle w:val="ConsPlusNormal"/>
              <w:jc w:val="center"/>
            </w:pPr>
            <w:r>
              <w:t>53,1 (22,4) кв. м торговой площади</w:t>
            </w:r>
          </w:p>
        </w:tc>
        <w:tc>
          <w:tcPr>
            <w:tcW w:w="1928" w:type="dxa"/>
          </w:tcPr>
          <w:p w:rsidR="007D4BA9" w:rsidRDefault="007D4BA9">
            <w:pPr>
              <w:pStyle w:val="ConsPlusNormal"/>
              <w:jc w:val="center"/>
            </w:pPr>
            <w:r>
              <w:t>3,1 кв. м на 1 кв. м торговой площади</w:t>
            </w:r>
          </w:p>
        </w:tc>
        <w:tc>
          <w:tcPr>
            <w:tcW w:w="1644" w:type="dxa"/>
            <w:vMerge w:val="restart"/>
          </w:tcPr>
          <w:p w:rsidR="007D4BA9" w:rsidRDefault="007D4BA9">
            <w:pPr>
              <w:pStyle w:val="ConsPlusNormal"/>
            </w:pPr>
            <w:r>
              <w:t>Торговые центры местного значения с числом обслуживаемого населения, тыс. чел.:</w:t>
            </w:r>
          </w:p>
          <w:p w:rsidR="007D4BA9" w:rsidRDefault="007D4BA9">
            <w:pPr>
              <w:pStyle w:val="ConsPlusNormal"/>
            </w:pPr>
            <w:r>
              <w:t>от 4 до 6 - 0,4 - 0,6 га на объект;</w:t>
            </w:r>
          </w:p>
          <w:p w:rsidR="007D4BA9" w:rsidRDefault="007D4BA9">
            <w:pPr>
              <w:pStyle w:val="ConsPlusNormal"/>
            </w:pPr>
            <w:r>
              <w:t>от 6 до 10 - 0,6 - 0,8 га;</w:t>
            </w:r>
          </w:p>
          <w:p w:rsidR="007D4BA9" w:rsidRDefault="007D4BA9">
            <w:pPr>
              <w:pStyle w:val="ConsPlusNormal"/>
            </w:pPr>
            <w:r>
              <w:t>от 10 до 15 - 0,8 - 1,1 га</w:t>
            </w:r>
          </w:p>
        </w:tc>
      </w:tr>
      <w:tr w:rsidR="007D4BA9">
        <w:tc>
          <w:tcPr>
            <w:tcW w:w="2324" w:type="dxa"/>
          </w:tcPr>
          <w:p w:rsidR="007D4BA9" w:rsidRDefault="007D4BA9">
            <w:pPr>
              <w:pStyle w:val="ConsPlusNormal"/>
            </w:pPr>
            <w:r>
              <w:t xml:space="preserve">Магазины непродовольственных товаров (универмаги, промтовары, специализированные магазины: "Одежда", "Обувь", "Книги", </w:t>
            </w:r>
            <w:r>
              <w:lastRenderedPageBreak/>
              <w:t>"Цветы" и прочее)</w:t>
            </w:r>
          </w:p>
        </w:tc>
        <w:tc>
          <w:tcPr>
            <w:tcW w:w="1644" w:type="dxa"/>
          </w:tcPr>
          <w:p w:rsidR="007D4BA9" w:rsidRDefault="007D4BA9">
            <w:pPr>
              <w:pStyle w:val="ConsPlusNormal"/>
              <w:jc w:val="center"/>
            </w:pPr>
            <w:r>
              <w:lastRenderedPageBreak/>
              <w:t>95 (13) кв. м торговой площади</w:t>
            </w:r>
          </w:p>
        </w:tc>
        <w:tc>
          <w:tcPr>
            <w:tcW w:w="1516" w:type="dxa"/>
          </w:tcPr>
          <w:p w:rsidR="007D4BA9" w:rsidRDefault="007D4BA9">
            <w:pPr>
              <w:pStyle w:val="ConsPlusNormal"/>
              <w:jc w:val="center"/>
            </w:pPr>
            <w:r>
              <w:t>68,5 (9,6) кв. м торговой площади</w:t>
            </w:r>
          </w:p>
        </w:tc>
        <w:tc>
          <w:tcPr>
            <w:tcW w:w="1928" w:type="dxa"/>
          </w:tcPr>
          <w:p w:rsidR="007D4BA9" w:rsidRDefault="007D4BA9">
            <w:pPr>
              <w:pStyle w:val="ConsPlusNormal"/>
              <w:jc w:val="center"/>
            </w:pPr>
            <w:r>
              <w:t>1,5 кв. м на 1 кв. м торговой площади</w:t>
            </w:r>
          </w:p>
        </w:tc>
        <w:tc>
          <w:tcPr>
            <w:tcW w:w="1644" w:type="dxa"/>
            <w:vMerge/>
          </w:tcPr>
          <w:p w:rsidR="007D4BA9" w:rsidRDefault="007D4BA9">
            <w:pPr>
              <w:pStyle w:val="ConsPlusNormal"/>
            </w:pPr>
          </w:p>
        </w:tc>
      </w:tr>
      <w:tr w:rsidR="007D4BA9">
        <w:tc>
          <w:tcPr>
            <w:tcW w:w="2324" w:type="dxa"/>
          </w:tcPr>
          <w:p w:rsidR="007D4BA9" w:rsidRDefault="007D4BA9">
            <w:pPr>
              <w:pStyle w:val="ConsPlusNormal"/>
            </w:pPr>
            <w:r>
              <w:lastRenderedPageBreak/>
              <w:t>Магазины смешанного ассортимента (универсамы, супермаркеты, в том числе сетевые, торговые центры, гипермаркеты и т.п.)</w:t>
            </w:r>
          </w:p>
        </w:tc>
        <w:tc>
          <w:tcPr>
            <w:tcW w:w="1644" w:type="dxa"/>
          </w:tcPr>
          <w:p w:rsidR="007D4BA9" w:rsidRDefault="007D4BA9">
            <w:pPr>
              <w:pStyle w:val="ConsPlusNormal"/>
              <w:jc w:val="center"/>
            </w:pPr>
            <w:r>
              <w:t>181 кв. м торговой площади</w:t>
            </w:r>
          </w:p>
        </w:tc>
        <w:tc>
          <w:tcPr>
            <w:tcW w:w="1516" w:type="dxa"/>
          </w:tcPr>
          <w:p w:rsidR="007D4BA9" w:rsidRDefault="007D4BA9">
            <w:pPr>
              <w:pStyle w:val="ConsPlusNormal"/>
              <w:jc w:val="center"/>
            </w:pPr>
            <w:r>
              <w:t>153,6 кв. м торговой площади</w:t>
            </w:r>
          </w:p>
        </w:tc>
        <w:tc>
          <w:tcPr>
            <w:tcW w:w="1928" w:type="dxa"/>
          </w:tcPr>
          <w:p w:rsidR="007D4BA9" w:rsidRDefault="007D4BA9">
            <w:pPr>
              <w:pStyle w:val="ConsPlusNormal"/>
              <w:jc w:val="center"/>
            </w:pPr>
            <w:r>
              <w:t>3,1 кв. м на 1 кв. м торговой площади</w:t>
            </w:r>
          </w:p>
        </w:tc>
        <w:tc>
          <w:tcPr>
            <w:tcW w:w="1644" w:type="dxa"/>
          </w:tcPr>
          <w:p w:rsidR="007D4BA9" w:rsidRDefault="007D4BA9">
            <w:pPr>
              <w:pStyle w:val="ConsPlusNormal"/>
            </w:pPr>
            <w:r>
              <w:t>от 15 до 20 - 1,1 - 1,3 га. Предприятия торговли, кв. м торговой площади:</w:t>
            </w:r>
          </w:p>
          <w:p w:rsidR="007D4BA9" w:rsidRDefault="007D4BA9">
            <w:pPr>
              <w:pStyle w:val="ConsPlusNormal"/>
            </w:pPr>
            <w:r>
              <w:t>до 250 - 0,08 га на 100 кв. м торговой площади; 250 - 650 - 0,08 - 0,06 га;</w:t>
            </w:r>
          </w:p>
          <w:p w:rsidR="007D4BA9" w:rsidRDefault="007D4BA9">
            <w:pPr>
              <w:pStyle w:val="ConsPlusNormal"/>
            </w:pPr>
            <w:r>
              <w:t>650 - 1500 - 0,06 - 0,04 га;</w:t>
            </w:r>
          </w:p>
          <w:p w:rsidR="007D4BA9" w:rsidRDefault="007D4BA9">
            <w:pPr>
              <w:pStyle w:val="ConsPlusNormal"/>
            </w:pPr>
            <w:r>
              <w:t>1500 - 3500 - 0,04 - 0,02 га;</w:t>
            </w:r>
          </w:p>
          <w:p w:rsidR="007D4BA9" w:rsidRDefault="007D4BA9">
            <w:pPr>
              <w:pStyle w:val="ConsPlusNormal"/>
            </w:pPr>
            <w:r>
              <w:t>свыше 3500 - 0,02 га</w:t>
            </w:r>
          </w:p>
        </w:tc>
      </w:tr>
      <w:tr w:rsidR="007D4BA9">
        <w:tc>
          <w:tcPr>
            <w:tcW w:w="2324" w:type="dxa"/>
          </w:tcPr>
          <w:p w:rsidR="007D4BA9" w:rsidRDefault="007D4BA9">
            <w:pPr>
              <w:pStyle w:val="ConsPlusNormal"/>
            </w:pPr>
            <w:r>
              <w:t>Рыночные комплексы (в том числе сельскохозяйственные рынки)</w:t>
            </w:r>
          </w:p>
        </w:tc>
        <w:tc>
          <w:tcPr>
            <w:tcW w:w="1644" w:type="dxa"/>
          </w:tcPr>
          <w:p w:rsidR="007D4BA9" w:rsidRDefault="007D4BA9">
            <w:pPr>
              <w:pStyle w:val="ConsPlusNormal"/>
              <w:jc w:val="center"/>
            </w:pPr>
            <w:r>
              <w:t>10,6 - 17,8 кв. м торговой площади</w:t>
            </w:r>
          </w:p>
        </w:tc>
        <w:tc>
          <w:tcPr>
            <w:tcW w:w="1516" w:type="dxa"/>
          </w:tcPr>
          <w:p w:rsidR="007D4BA9" w:rsidRDefault="007D4BA9">
            <w:pPr>
              <w:pStyle w:val="ConsPlusNormal"/>
              <w:jc w:val="center"/>
            </w:pPr>
            <w:r>
              <w:t>7,7 - 12,8 кв. м торговой площади</w:t>
            </w:r>
          </w:p>
        </w:tc>
        <w:tc>
          <w:tcPr>
            <w:tcW w:w="1928" w:type="dxa"/>
          </w:tcPr>
          <w:p w:rsidR="007D4BA9" w:rsidRDefault="007D4BA9">
            <w:pPr>
              <w:pStyle w:val="ConsPlusNormal"/>
              <w:jc w:val="center"/>
            </w:pPr>
            <w:r>
              <w:t>2,3 кв. м на 1 кв. м торговой площади</w:t>
            </w:r>
          </w:p>
        </w:tc>
        <w:tc>
          <w:tcPr>
            <w:tcW w:w="1644" w:type="dxa"/>
          </w:tcPr>
          <w:p w:rsidR="007D4BA9" w:rsidRDefault="007D4BA9">
            <w:pPr>
              <w:pStyle w:val="ConsPlusNormal"/>
            </w:pPr>
            <w:r>
              <w:t>От 7 до 14 в зависимости от вместимости:</w:t>
            </w:r>
          </w:p>
          <w:p w:rsidR="007D4BA9" w:rsidRDefault="007D4BA9">
            <w:pPr>
              <w:pStyle w:val="ConsPlusNormal"/>
            </w:pPr>
            <w:r>
              <w:t>14 кв. м - при торговой площади до 600 кв. м;</w:t>
            </w:r>
          </w:p>
          <w:p w:rsidR="007D4BA9" w:rsidRDefault="007D4BA9">
            <w:pPr>
              <w:pStyle w:val="ConsPlusNormal"/>
            </w:pPr>
            <w:r>
              <w:t>7 кв. м - свыше 3000 кв. м торговой площади</w:t>
            </w:r>
          </w:p>
        </w:tc>
      </w:tr>
      <w:tr w:rsidR="007D4BA9">
        <w:tc>
          <w:tcPr>
            <w:tcW w:w="2324" w:type="dxa"/>
          </w:tcPr>
          <w:p w:rsidR="007D4BA9" w:rsidRDefault="007D4BA9">
            <w:pPr>
              <w:pStyle w:val="ConsPlusNormal"/>
            </w:pPr>
            <w:r>
              <w:t>Предприятия общественного питания</w:t>
            </w:r>
          </w:p>
        </w:tc>
        <w:tc>
          <w:tcPr>
            <w:tcW w:w="1644" w:type="dxa"/>
          </w:tcPr>
          <w:p w:rsidR="007D4BA9" w:rsidRDefault="007D4BA9">
            <w:pPr>
              <w:pStyle w:val="ConsPlusNormal"/>
              <w:jc w:val="center"/>
            </w:pPr>
            <w:r>
              <w:t>17,8 (3,6) посадочных места</w:t>
            </w:r>
          </w:p>
        </w:tc>
        <w:tc>
          <w:tcPr>
            <w:tcW w:w="1516" w:type="dxa"/>
          </w:tcPr>
          <w:p w:rsidR="007D4BA9" w:rsidRDefault="007D4BA9">
            <w:pPr>
              <w:pStyle w:val="ConsPlusNormal"/>
              <w:jc w:val="center"/>
            </w:pPr>
            <w:r>
              <w:t>12,8 (2,5) посадочных места</w:t>
            </w:r>
          </w:p>
        </w:tc>
        <w:tc>
          <w:tcPr>
            <w:tcW w:w="1928" w:type="dxa"/>
          </w:tcPr>
          <w:p w:rsidR="007D4BA9" w:rsidRDefault="007D4BA9">
            <w:pPr>
              <w:pStyle w:val="ConsPlusNormal"/>
              <w:jc w:val="center"/>
            </w:pPr>
            <w:r>
              <w:t>-</w:t>
            </w:r>
          </w:p>
        </w:tc>
        <w:tc>
          <w:tcPr>
            <w:tcW w:w="1644" w:type="dxa"/>
          </w:tcPr>
          <w:p w:rsidR="007D4BA9" w:rsidRDefault="007D4BA9">
            <w:pPr>
              <w:pStyle w:val="ConsPlusNormal"/>
            </w:pPr>
            <w:r>
              <w:t>При числе мест, га на 100 мест: до 50 - 0,2 - 0,25;</w:t>
            </w:r>
          </w:p>
          <w:p w:rsidR="007D4BA9" w:rsidRDefault="007D4BA9">
            <w:pPr>
              <w:pStyle w:val="ConsPlusNormal"/>
            </w:pPr>
            <w:r>
              <w:t>50 - 150 - 0,2 - 0,15;</w:t>
            </w:r>
          </w:p>
          <w:p w:rsidR="007D4BA9" w:rsidRDefault="007D4BA9">
            <w:pPr>
              <w:pStyle w:val="ConsPlusNormal"/>
            </w:pPr>
            <w:r>
              <w:t>свыше 150 - 0,1</w:t>
            </w:r>
          </w:p>
        </w:tc>
      </w:tr>
      <w:tr w:rsidR="007D4BA9">
        <w:tc>
          <w:tcPr>
            <w:tcW w:w="2324" w:type="dxa"/>
          </w:tcPr>
          <w:p w:rsidR="007D4BA9" w:rsidRDefault="007D4BA9">
            <w:pPr>
              <w:pStyle w:val="ConsPlusNormal"/>
            </w:pPr>
            <w:r>
              <w:t>Предприятия бытового обслуживания населения</w:t>
            </w:r>
          </w:p>
        </w:tc>
        <w:tc>
          <w:tcPr>
            <w:tcW w:w="1644" w:type="dxa"/>
          </w:tcPr>
          <w:p w:rsidR="007D4BA9" w:rsidRDefault="007D4BA9">
            <w:pPr>
              <w:pStyle w:val="ConsPlusNormal"/>
              <w:jc w:val="center"/>
            </w:pPr>
            <w:r>
              <w:t>2,7 (0,8) рабочих места</w:t>
            </w:r>
          </w:p>
        </w:tc>
        <w:tc>
          <w:tcPr>
            <w:tcW w:w="1516" w:type="dxa"/>
          </w:tcPr>
          <w:p w:rsidR="007D4BA9" w:rsidRDefault="007D4BA9">
            <w:pPr>
              <w:pStyle w:val="ConsPlusNormal"/>
              <w:jc w:val="center"/>
            </w:pPr>
            <w:r>
              <w:t>1,9 (0,6) рабочих места</w:t>
            </w:r>
          </w:p>
        </w:tc>
        <w:tc>
          <w:tcPr>
            <w:tcW w:w="1928" w:type="dxa"/>
          </w:tcPr>
          <w:p w:rsidR="007D4BA9" w:rsidRDefault="007D4BA9">
            <w:pPr>
              <w:pStyle w:val="ConsPlusNormal"/>
              <w:jc w:val="center"/>
            </w:pPr>
            <w:r>
              <w:t>-</w:t>
            </w:r>
          </w:p>
        </w:tc>
        <w:tc>
          <w:tcPr>
            <w:tcW w:w="1644" w:type="dxa"/>
          </w:tcPr>
          <w:p w:rsidR="007D4BA9" w:rsidRDefault="007D4BA9">
            <w:pPr>
              <w:pStyle w:val="ConsPlusNormal"/>
              <w:jc w:val="center"/>
            </w:pPr>
            <w:r>
              <w:t>-</w:t>
            </w:r>
          </w:p>
        </w:tc>
      </w:tr>
      <w:tr w:rsidR="007D4BA9">
        <w:tc>
          <w:tcPr>
            <w:tcW w:w="2324" w:type="dxa"/>
          </w:tcPr>
          <w:p w:rsidR="007D4BA9" w:rsidRDefault="007D4BA9">
            <w:pPr>
              <w:pStyle w:val="ConsPlusNormal"/>
            </w:pPr>
            <w:r>
              <w:t>Предприятия непосредственного обслуживания населения</w:t>
            </w:r>
          </w:p>
        </w:tc>
        <w:tc>
          <w:tcPr>
            <w:tcW w:w="1644" w:type="dxa"/>
          </w:tcPr>
          <w:p w:rsidR="007D4BA9" w:rsidRDefault="007D4BA9">
            <w:pPr>
              <w:pStyle w:val="ConsPlusNormal"/>
              <w:jc w:val="center"/>
            </w:pPr>
            <w:r>
              <w:t>2,2 (0,8) рабочих места</w:t>
            </w:r>
          </w:p>
        </w:tc>
        <w:tc>
          <w:tcPr>
            <w:tcW w:w="1516" w:type="dxa"/>
          </w:tcPr>
          <w:p w:rsidR="007D4BA9" w:rsidRDefault="007D4BA9">
            <w:pPr>
              <w:pStyle w:val="ConsPlusNormal"/>
              <w:jc w:val="center"/>
            </w:pPr>
            <w:r>
              <w:t>1,6 (0,6) рабочих места</w:t>
            </w:r>
          </w:p>
        </w:tc>
        <w:tc>
          <w:tcPr>
            <w:tcW w:w="1928" w:type="dxa"/>
          </w:tcPr>
          <w:p w:rsidR="007D4BA9" w:rsidRDefault="007D4BA9">
            <w:pPr>
              <w:pStyle w:val="ConsPlusNormal"/>
              <w:jc w:val="center"/>
            </w:pPr>
            <w:r>
              <w:t>-</w:t>
            </w:r>
          </w:p>
        </w:tc>
        <w:tc>
          <w:tcPr>
            <w:tcW w:w="1644" w:type="dxa"/>
          </w:tcPr>
          <w:p w:rsidR="007D4BA9" w:rsidRDefault="007D4BA9">
            <w:pPr>
              <w:pStyle w:val="ConsPlusNormal"/>
            </w:pPr>
            <w:r>
              <w:t>На 10 рабочих мест для предприятий мощностью, рабочих мест:</w:t>
            </w:r>
          </w:p>
          <w:p w:rsidR="007D4BA9" w:rsidRDefault="007D4BA9">
            <w:pPr>
              <w:pStyle w:val="ConsPlusNormal"/>
            </w:pPr>
            <w:r>
              <w:t>10 - 50 - 0,1 - 0,2 га;</w:t>
            </w:r>
          </w:p>
          <w:p w:rsidR="007D4BA9" w:rsidRDefault="007D4BA9">
            <w:pPr>
              <w:pStyle w:val="ConsPlusNormal"/>
            </w:pPr>
            <w:r>
              <w:t>50 - 150 - 0,05 - 0,08 га;</w:t>
            </w:r>
          </w:p>
          <w:p w:rsidR="007D4BA9" w:rsidRDefault="007D4BA9">
            <w:pPr>
              <w:pStyle w:val="ConsPlusNormal"/>
            </w:pPr>
            <w:r>
              <w:lastRenderedPageBreak/>
              <w:t>свыше 150 - 0,03 - 0,04 га</w:t>
            </w:r>
          </w:p>
        </w:tc>
      </w:tr>
      <w:tr w:rsidR="007D4BA9">
        <w:tc>
          <w:tcPr>
            <w:tcW w:w="2324" w:type="dxa"/>
          </w:tcPr>
          <w:p w:rsidR="007D4BA9" w:rsidRDefault="007D4BA9">
            <w:pPr>
              <w:pStyle w:val="ConsPlusNormal"/>
            </w:pPr>
            <w:r>
              <w:lastRenderedPageBreak/>
              <w:t>Производственное предприятие бытового обслуживания малой мощности централизованного выполнения заказов</w:t>
            </w:r>
          </w:p>
        </w:tc>
        <w:tc>
          <w:tcPr>
            <w:tcW w:w="1644" w:type="dxa"/>
            <w:vAlign w:val="center"/>
          </w:tcPr>
          <w:p w:rsidR="007D4BA9" w:rsidRDefault="007D4BA9">
            <w:pPr>
              <w:pStyle w:val="ConsPlusNormal"/>
              <w:jc w:val="center"/>
            </w:pPr>
            <w:r>
              <w:t>0,4 рабочих места</w:t>
            </w:r>
          </w:p>
        </w:tc>
        <w:tc>
          <w:tcPr>
            <w:tcW w:w="1516" w:type="dxa"/>
            <w:vAlign w:val="center"/>
          </w:tcPr>
          <w:p w:rsidR="007D4BA9" w:rsidRDefault="007D4BA9">
            <w:pPr>
              <w:pStyle w:val="ConsPlusNormal"/>
              <w:jc w:val="center"/>
            </w:pPr>
            <w:r>
              <w:t>0,32 рабочих места</w:t>
            </w:r>
          </w:p>
        </w:tc>
        <w:tc>
          <w:tcPr>
            <w:tcW w:w="1928" w:type="dxa"/>
            <w:vAlign w:val="center"/>
          </w:tcPr>
          <w:p w:rsidR="007D4BA9" w:rsidRDefault="007D4BA9">
            <w:pPr>
              <w:pStyle w:val="ConsPlusNormal"/>
              <w:jc w:val="center"/>
            </w:pPr>
            <w:r>
              <w:t>-</w:t>
            </w:r>
          </w:p>
        </w:tc>
        <w:tc>
          <w:tcPr>
            <w:tcW w:w="1644" w:type="dxa"/>
            <w:vAlign w:val="center"/>
          </w:tcPr>
          <w:p w:rsidR="007D4BA9" w:rsidRDefault="007D4BA9">
            <w:pPr>
              <w:pStyle w:val="ConsPlusNormal"/>
            </w:pPr>
            <w:r>
              <w:t>0,52 - 1,2 га на объект</w:t>
            </w:r>
          </w:p>
        </w:tc>
      </w:tr>
      <w:tr w:rsidR="007D4BA9">
        <w:tc>
          <w:tcPr>
            <w:tcW w:w="2324" w:type="dxa"/>
            <w:tcBorders>
              <w:bottom w:val="nil"/>
            </w:tcBorders>
          </w:tcPr>
          <w:p w:rsidR="007D4BA9" w:rsidRDefault="007D4BA9">
            <w:pPr>
              <w:pStyle w:val="ConsPlusNormal"/>
            </w:pPr>
            <w:r>
              <w:t>Предприятия по стирке белья, в том числе:</w:t>
            </w:r>
          </w:p>
        </w:tc>
        <w:tc>
          <w:tcPr>
            <w:tcW w:w="1644" w:type="dxa"/>
            <w:tcBorders>
              <w:bottom w:val="nil"/>
            </w:tcBorders>
          </w:tcPr>
          <w:p w:rsidR="007D4BA9" w:rsidRDefault="007D4BA9">
            <w:pPr>
              <w:pStyle w:val="ConsPlusNormal"/>
              <w:jc w:val="center"/>
            </w:pPr>
            <w:r>
              <w:t>53 (4,4)</w:t>
            </w:r>
          </w:p>
        </w:tc>
        <w:tc>
          <w:tcPr>
            <w:tcW w:w="1516" w:type="dxa"/>
            <w:tcBorders>
              <w:bottom w:val="nil"/>
            </w:tcBorders>
          </w:tcPr>
          <w:p w:rsidR="007D4BA9" w:rsidRDefault="007D4BA9">
            <w:pPr>
              <w:pStyle w:val="ConsPlusNormal"/>
              <w:jc w:val="center"/>
            </w:pPr>
            <w:r>
              <w:t>38,4 (3,2)</w:t>
            </w:r>
          </w:p>
        </w:tc>
        <w:tc>
          <w:tcPr>
            <w:tcW w:w="1928" w:type="dxa"/>
            <w:vMerge w:val="restart"/>
            <w:vAlign w:val="center"/>
          </w:tcPr>
          <w:p w:rsidR="007D4BA9" w:rsidRDefault="007D4BA9">
            <w:pPr>
              <w:pStyle w:val="ConsPlusNormal"/>
              <w:jc w:val="center"/>
            </w:pPr>
            <w:r>
              <w:t>-</w:t>
            </w:r>
          </w:p>
        </w:tc>
        <w:tc>
          <w:tcPr>
            <w:tcW w:w="1644" w:type="dxa"/>
            <w:tcBorders>
              <w:bottom w:val="nil"/>
            </w:tcBorders>
          </w:tcPr>
          <w:p w:rsidR="007D4BA9" w:rsidRDefault="007D4BA9">
            <w:pPr>
              <w:pStyle w:val="ConsPlusNormal"/>
            </w:pPr>
          </w:p>
        </w:tc>
      </w:tr>
      <w:tr w:rsidR="007D4BA9">
        <w:tblPrEx>
          <w:tblBorders>
            <w:insideH w:val="nil"/>
          </w:tblBorders>
        </w:tblPrEx>
        <w:tc>
          <w:tcPr>
            <w:tcW w:w="2324" w:type="dxa"/>
            <w:tcBorders>
              <w:top w:val="nil"/>
              <w:bottom w:val="nil"/>
            </w:tcBorders>
          </w:tcPr>
          <w:p w:rsidR="007D4BA9" w:rsidRDefault="007D4BA9">
            <w:pPr>
              <w:pStyle w:val="ConsPlusNormal"/>
            </w:pPr>
            <w:r>
              <w:t>мини-прачечные, фабрики-прачечные,</w:t>
            </w:r>
          </w:p>
        </w:tc>
        <w:tc>
          <w:tcPr>
            <w:tcW w:w="1644" w:type="dxa"/>
            <w:tcBorders>
              <w:top w:val="nil"/>
              <w:bottom w:val="nil"/>
            </w:tcBorders>
          </w:tcPr>
          <w:p w:rsidR="007D4BA9" w:rsidRDefault="007D4BA9">
            <w:pPr>
              <w:pStyle w:val="ConsPlusNormal"/>
              <w:jc w:val="center"/>
            </w:pPr>
            <w:r>
              <w:t>49 кг белья в смену</w:t>
            </w:r>
          </w:p>
        </w:tc>
        <w:tc>
          <w:tcPr>
            <w:tcW w:w="1516" w:type="dxa"/>
            <w:tcBorders>
              <w:top w:val="nil"/>
              <w:bottom w:val="nil"/>
            </w:tcBorders>
          </w:tcPr>
          <w:p w:rsidR="007D4BA9" w:rsidRDefault="007D4BA9">
            <w:pPr>
              <w:pStyle w:val="ConsPlusNormal"/>
              <w:jc w:val="center"/>
            </w:pPr>
            <w:r>
              <w:t>35,2 кг белья в смену</w:t>
            </w:r>
          </w:p>
        </w:tc>
        <w:tc>
          <w:tcPr>
            <w:tcW w:w="1928" w:type="dxa"/>
            <w:vMerge/>
          </w:tcPr>
          <w:p w:rsidR="007D4BA9" w:rsidRDefault="007D4BA9">
            <w:pPr>
              <w:pStyle w:val="ConsPlusNormal"/>
            </w:pPr>
          </w:p>
        </w:tc>
        <w:tc>
          <w:tcPr>
            <w:tcW w:w="1644" w:type="dxa"/>
            <w:tcBorders>
              <w:top w:val="nil"/>
              <w:bottom w:val="nil"/>
            </w:tcBorders>
          </w:tcPr>
          <w:p w:rsidR="007D4BA9" w:rsidRDefault="007D4BA9">
            <w:pPr>
              <w:pStyle w:val="ConsPlusNormal"/>
            </w:pPr>
            <w:r>
              <w:t>0,5 - 1,0 га на объект</w:t>
            </w:r>
          </w:p>
        </w:tc>
      </w:tr>
      <w:tr w:rsidR="007D4BA9">
        <w:tc>
          <w:tcPr>
            <w:tcW w:w="2324" w:type="dxa"/>
            <w:tcBorders>
              <w:top w:val="nil"/>
            </w:tcBorders>
          </w:tcPr>
          <w:p w:rsidR="007D4BA9" w:rsidRDefault="007D4BA9">
            <w:pPr>
              <w:pStyle w:val="ConsPlusNormal"/>
            </w:pPr>
            <w:r>
              <w:t>прачечные самообслуживания</w:t>
            </w:r>
          </w:p>
        </w:tc>
        <w:tc>
          <w:tcPr>
            <w:tcW w:w="1644" w:type="dxa"/>
            <w:tcBorders>
              <w:top w:val="nil"/>
            </w:tcBorders>
          </w:tcPr>
          <w:p w:rsidR="007D4BA9" w:rsidRDefault="007D4BA9">
            <w:pPr>
              <w:pStyle w:val="ConsPlusNormal"/>
              <w:jc w:val="center"/>
            </w:pPr>
            <w:r>
              <w:t>4,4 кг белья в смену</w:t>
            </w:r>
          </w:p>
        </w:tc>
        <w:tc>
          <w:tcPr>
            <w:tcW w:w="1516" w:type="dxa"/>
            <w:tcBorders>
              <w:top w:val="nil"/>
            </w:tcBorders>
          </w:tcPr>
          <w:p w:rsidR="007D4BA9" w:rsidRDefault="007D4BA9">
            <w:pPr>
              <w:pStyle w:val="ConsPlusNormal"/>
              <w:jc w:val="center"/>
            </w:pPr>
            <w:r>
              <w:t>3,2 кг белья в смену</w:t>
            </w:r>
          </w:p>
        </w:tc>
        <w:tc>
          <w:tcPr>
            <w:tcW w:w="1928" w:type="dxa"/>
            <w:vMerge/>
          </w:tcPr>
          <w:p w:rsidR="007D4BA9" w:rsidRDefault="007D4BA9">
            <w:pPr>
              <w:pStyle w:val="ConsPlusNormal"/>
            </w:pPr>
          </w:p>
        </w:tc>
        <w:tc>
          <w:tcPr>
            <w:tcW w:w="1644" w:type="dxa"/>
            <w:tcBorders>
              <w:top w:val="nil"/>
            </w:tcBorders>
          </w:tcPr>
          <w:p w:rsidR="007D4BA9" w:rsidRDefault="007D4BA9">
            <w:pPr>
              <w:pStyle w:val="ConsPlusNormal"/>
            </w:pPr>
            <w:r>
              <w:t>0,1 - 0,2 га на объект</w:t>
            </w:r>
          </w:p>
        </w:tc>
      </w:tr>
      <w:tr w:rsidR="007D4BA9">
        <w:tc>
          <w:tcPr>
            <w:tcW w:w="2324" w:type="dxa"/>
            <w:tcBorders>
              <w:bottom w:val="nil"/>
            </w:tcBorders>
          </w:tcPr>
          <w:p w:rsidR="007D4BA9" w:rsidRDefault="007D4BA9">
            <w:pPr>
              <w:pStyle w:val="ConsPlusNormal"/>
            </w:pPr>
            <w:r>
              <w:t>Предприятия по химчистке, в том числе:</w:t>
            </w:r>
          </w:p>
        </w:tc>
        <w:tc>
          <w:tcPr>
            <w:tcW w:w="1644" w:type="dxa"/>
            <w:tcBorders>
              <w:bottom w:val="nil"/>
            </w:tcBorders>
          </w:tcPr>
          <w:p w:rsidR="007D4BA9" w:rsidRDefault="007D4BA9">
            <w:pPr>
              <w:pStyle w:val="ConsPlusNormal"/>
              <w:jc w:val="center"/>
            </w:pPr>
            <w:r>
              <w:t>5 (1,7)</w:t>
            </w:r>
          </w:p>
        </w:tc>
        <w:tc>
          <w:tcPr>
            <w:tcW w:w="1516" w:type="dxa"/>
            <w:tcBorders>
              <w:bottom w:val="nil"/>
            </w:tcBorders>
          </w:tcPr>
          <w:p w:rsidR="007D4BA9" w:rsidRDefault="007D4BA9">
            <w:pPr>
              <w:pStyle w:val="ConsPlusNormal"/>
              <w:jc w:val="center"/>
            </w:pPr>
            <w:r>
              <w:t>3,6 (1,3)</w:t>
            </w:r>
          </w:p>
        </w:tc>
        <w:tc>
          <w:tcPr>
            <w:tcW w:w="1928" w:type="dxa"/>
            <w:vMerge w:val="restart"/>
            <w:vAlign w:val="center"/>
          </w:tcPr>
          <w:p w:rsidR="007D4BA9" w:rsidRDefault="007D4BA9">
            <w:pPr>
              <w:pStyle w:val="ConsPlusNormal"/>
              <w:jc w:val="center"/>
            </w:pPr>
            <w:r>
              <w:t>-</w:t>
            </w:r>
          </w:p>
        </w:tc>
        <w:tc>
          <w:tcPr>
            <w:tcW w:w="1644" w:type="dxa"/>
            <w:tcBorders>
              <w:bottom w:val="nil"/>
            </w:tcBorders>
          </w:tcPr>
          <w:p w:rsidR="007D4BA9" w:rsidRDefault="007D4BA9">
            <w:pPr>
              <w:pStyle w:val="ConsPlusNormal"/>
            </w:pPr>
          </w:p>
        </w:tc>
      </w:tr>
      <w:tr w:rsidR="007D4BA9">
        <w:tblPrEx>
          <w:tblBorders>
            <w:insideH w:val="nil"/>
          </w:tblBorders>
        </w:tblPrEx>
        <w:tc>
          <w:tcPr>
            <w:tcW w:w="2324" w:type="dxa"/>
            <w:tcBorders>
              <w:top w:val="nil"/>
              <w:bottom w:val="nil"/>
            </w:tcBorders>
          </w:tcPr>
          <w:p w:rsidR="007D4BA9" w:rsidRDefault="007D4BA9">
            <w:pPr>
              <w:pStyle w:val="ConsPlusNormal"/>
            </w:pPr>
            <w:r>
              <w:t>мини-химчистки, фабрики-химчистки,</w:t>
            </w:r>
          </w:p>
        </w:tc>
        <w:tc>
          <w:tcPr>
            <w:tcW w:w="1644" w:type="dxa"/>
            <w:tcBorders>
              <w:top w:val="nil"/>
              <w:bottom w:val="nil"/>
            </w:tcBorders>
          </w:tcPr>
          <w:p w:rsidR="007D4BA9" w:rsidRDefault="007D4BA9">
            <w:pPr>
              <w:pStyle w:val="ConsPlusNormal"/>
              <w:jc w:val="center"/>
            </w:pPr>
            <w:r>
              <w:t>3,3 кг белья в смену</w:t>
            </w:r>
          </w:p>
        </w:tc>
        <w:tc>
          <w:tcPr>
            <w:tcW w:w="1516" w:type="dxa"/>
            <w:tcBorders>
              <w:top w:val="nil"/>
              <w:bottom w:val="nil"/>
            </w:tcBorders>
          </w:tcPr>
          <w:p w:rsidR="007D4BA9" w:rsidRDefault="007D4BA9">
            <w:pPr>
              <w:pStyle w:val="ConsPlusNormal"/>
              <w:jc w:val="center"/>
            </w:pPr>
            <w:r>
              <w:t>2,4 кг белья в смену</w:t>
            </w:r>
          </w:p>
        </w:tc>
        <w:tc>
          <w:tcPr>
            <w:tcW w:w="1928" w:type="dxa"/>
            <w:vMerge/>
          </w:tcPr>
          <w:p w:rsidR="007D4BA9" w:rsidRDefault="007D4BA9">
            <w:pPr>
              <w:pStyle w:val="ConsPlusNormal"/>
            </w:pPr>
          </w:p>
        </w:tc>
        <w:tc>
          <w:tcPr>
            <w:tcW w:w="1644" w:type="dxa"/>
            <w:tcBorders>
              <w:top w:val="nil"/>
              <w:bottom w:val="nil"/>
            </w:tcBorders>
          </w:tcPr>
          <w:p w:rsidR="007D4BA9" w:rsidRDefault="007D4BA9">
            <w:pPr>
              <w:pStyle w:val="ConsPlusNormal"/>
            </w:pPr>
            <w:r>
              <w:t>0,5 - 10 га на объект</w:t>
            </w:r>
          </w:p>
        </w:tc>
      </w:tr>
      <w:tr w:rsidR="007D4BA9">
        <w:tc>
          <w:tcPr>
            <w:tcW w:w="2324" w:type="dxa"/>
            <w:tcBorders>
              <w:top w:val="nil"/>
            </w:tcBorders>
          </w:tcPr>
          <w:p w:rsidR="007D4BA9" w:rsidRDefault="007D4BA9">
            <w:pPr>
              <w:pStyle w:val="ConsPlusNormal"/>
            </w:pPr>
            <w:r>
              <w:t>химчистки самообслуживания</w:t>
            </w:r>
          </w:p>
        </w:tc>
        <w:tc>
          <w:tcPr>
            <w:tcW w:w="1644" w:type="dxa"/>
            <w:tcBorders>
              <w:top w:val="nil"/>
            </w:tcBorders>
          </w:tcPr>
          <w:p w:rsidR="007D4BA9" w:rsidRDefault="007D4BA9">
            <w:pPr>
              <w:pStyle w:val="ConsPlusNormal"/>
              <w:jc w:val="center"/>
            </w:pPr>
            <w:r>
              <w:t>1,7 кг белья в смену</w:t>
            </w:r>
          </w:p>
        </w:tc>
        <w:tc>
          <w:tcPr>
            <w:tcW w:w="1516" w:type="dxa"/>
            <w:tcBorders>
              <w:top w:val="nil"/>
            </w:tcBorders>
          </w:tcPr>
          <w:p w:rsidR="007D4BA9" w:rsidRDefault="007D4BA9">
            <w:pPr>
              <w:pStyle w:val="ConsPlusNormal"/>
              <w:jc w:val="center"/>
            </w:pPr>
            <w:r>
              <w:t>1,3 кг белья в смену</w:t>
            </w:r>
          </w:p>
        </w:tc>
        <w:tc>
          <w:tcPr>
            <w:tcW w:w="1928" w:type="dxa"/>
            <w:vMerge/>
          </w:tcPr>
          <w:p w:rsidR="007D4BA9" w:rsidRDefault="007D4BA9">
            <w:pPr>
              <w:pStyle w:val="ConsPlusNormal"/>
            </w:pPr>
          </w:p>
        </w:tc>
        <w:tc>
          <w:tcPr>
            <w:tcW w:w="1644" w:type="dxa"/>
            <w:tcBorders>
              <w:top w:val="nil"/>
            </w:tcBorders>
          </w:tcPr>
          <w:p w:rsidR="007D4BA9" w:rsidRDefault="007D4BA9">
            <w:pPr>
              <w:pStyle w:val="ConsPlusNormal"/>
            </w:pPr>
            <w:r>
              <w:t>0,1 - 0,2 га на объект</w:t>
            </w:r>
          </w:p>
        </w:tc>
      </w:tr>
      <w:tr w:rsidR="007D4BA9">
        <w:tc>
          <w:tcPr>
            <w:tcW w:w="2324" w:type="dxa"/>
          </w:tcPr>
          <w:p w:rsidR="007D4BA9" w:rsidRDefault="007D4BA9">
            <w:pPr>
              <w:pStyle w:val="ConsPlusNormal"/>
            </w:pPr>
            <w:r>
              <w:t>Банно-оздоровительные комплексы</w:t>
            </w:r>
          </w:p>
        </w:tc>
        <w:tc>
          <w:tcPr>
            <w:tcW w:w="1644" w:type="dxa"/>
          </w:tcPr>
          <w:p w:rsidR="007D4BA9" w:rsidRDefault="007D4BA9">
            <w:pPr>
              <w:pStyle w:val="ConsPlusNormal"/>
              <w:jc w:val="center"/>
            </w:pPr>
            <w:r>
              <w:t>2,2 помывочных места</w:t>
            </w:r>
          </w:p>
        </w:tc>
        <w:tc>
          <w:tcPr>
            <w:tcW w:w="1516" w:type="dxa"/>
          </w:tcPr>
          <w:p w:rsidR="007D4BA9" w:rsidRDefault="007D4BA9">
            <w:pPr>
              <w:pStyle w:val="ConsPlusNormal"/>
              <w:jc w:val="center"/>
            </w:pPr>
            <w:r>
              <w:t>1,6 помывочных места</w:t>
            </w:r>
          </w:p>
        </w:tc>
        <w:tc>
          <w:tcPr>
            <w:tcW w:w="1928" w:type="dxa"/>
            <w:vAlign w:val="center"/>
          </w:tcPr>
          <w:p w:rsidR="007D4BA9" w:rsidRDefault="007D4BA9">
            <w:pPr>
              <w:pStyle w:val="ConsPlusNormal"/>
              <w:jc w:val="center"/>
            </w:pPr>
            <w:r>
              <w:t>-</w:t>
            </w:r>
          </w:p>
        </w:tc>
        <w:tc>
          <w:tcPr>
            <w:tcW w:w="1644" w:type="dxa"/>
          </w:tcPr>
          <w:p w:rsidR="007D4BA9" w:rsidRDefault="007D4BA9">
            <w:pPr>
              <w:pStyle w:val="ConsPlusNormal"/>
            </w:pPr>
            <w:r>
              <w:t>0,2 - 0,4 га на объект</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23" w:name="P1361"/>
      <w:bookmarkEnd w:id="23"/>
      <w:r>
        <w:t xml:space="preserve">&lt;*&gt; Расчетные показатели принимаются в соответствии с </w:t>
      </w:r>
      <w:hyperlink r:id="rId46">
        <w:r>
          <w:rPr>
            <w:color w:val="0000FF"/>
          </w:rPr>
          <w:t>СП 42.13330.2016</w:t>
        </w:r>
      </w:hyperlink>
      <w:r>
        <w:t>.</w:t>
      </w:r>
    </w:p>
    <w:p w:rsidR="007D4BA9" w:rsidRDefault="007D4BA9">
      <w:pPr>
        <w:pStyle w:val="ConsPlusNormal"/>
        <w:jc w:val="both"/>
      </w:pPr>
    </w:p>
    <w:p w:rsidR="007D4BA9" w:rsidRDefault="007D4BA9">
      <w:pPr>
        <w:pStyle w:val="ConsPlusTitle"/>
        <w:jc w:val="center"/>
        <w:outlineLvl w:val="2"/>
      </w:pPr>
      <w:r>
        <w:t>Глава 28. ТРАНСПОРТНАЯ ИНФРАСТРУКТУРА. ОБЩИЕ ТРЕБОВАНИЯ</w:t>
      </w:r>
    </w:p>
    <w:p w:rsidR="007D4BA9" w:rsidRDefault="007D4BA9">
      <w:pPr>
        <w:pStyle w:val="ConsPlusNormal"/>
        <w:jc w:val="both"/>
      </w:pPr>
    </w:p>
    <w:p w:rsidR="007D4BA9" w:rsidRDefault="007D4BA9">
      <w:pPr>
        <w:pStyle w:val="ConsPlusNormal"/>
        <w:ind w:firstLine="540"/>
        <w:jc w:val="both"/>
      </w:pPr>
      <w:r>
        <w:t xml:space="preserve">144. Транспортная инфраструктура города </w:t>
      </w:r>
      <w:r w:rsidR="000B30E9">
        <w:t>Нижнекамск</w:t>
      </w:r>
      <w:r>
        <w:t xml:space="preserve"> проектируется с учетом существующих и перспективных транспортных узлов, интегрирующих городские и прилегающие территории.</w:t>
      </w:r>
    </w:p>
    <w:p w:rsidR="007D4BA9" w:rsidRDefault="007D4BA9">
      <w:pPr>
        <w:pStyle w:val="ConsPlusNormal"/>
        <w:spacing w:before="220"/>
        <w:ind w:firstLine="540"/>
        <w:jc w:val="both"/>
      </w:pPr>
      <w:r>
        <w:t xml:space="preserve">145. Все системы и подсистемы городского, регионального и внешнего транспорта, включая улично-дорожную сеть, должны обеспечивать надежные, быстрые и безопасные связи при перевозке пассажиров и грузов в необходимых объемах, экономичность строительства и эксплуатации транспортных устройств и сооружений, высокую эффективность использования территории города </w:t>
      </w:r>
      <w:r w:rsidR="000B30E9">
        <w:t>Нижнекамск</w:t>
      </w:r>
      <w:r>
        <w:t>.</w:t>
      </w:r>
    </w:p>
    <w:p w:rsidR="007D4BA9" w:rsidRDefault="007D4BA9">
      <w:pPr>
        <w:pStyle w:val="ConsPlusNormal"/>
        <w:spacing w:before="220"/>
        <w:ind w:firstLine="540"/>
        <w:jc w:val="both"/>
      </w:pPr>
      <w:r>
        <w:t xml:space="preserve">146. В городе </w:t>
      </w:r>
      <w:r w:rsidR="000B30E9">
        <w:t>Нижнекамск</w:t>
      </w:r>
      <w:r>
        <w:t xml:space="preserve"> следует формировать единую систему различных видов транспорта в совокупности с УДС, которая должна обеспечивать:</w:t>
      </w:r>
    </w:p>
    <w:p w:rsidR="007D4BA9" w:rsidRDefault="007D4BA9">
      <w:pPr>
        <w:pStyle w:val="ConsPlusNormal"/>
        <w:spacing w:before="220"/>
        <w:ind w:firstLine="540"/>
        <w:jc w:val="both"/>
      </w:pPr>
      <w:r>
        <w:t>1) выход на систему транспортных коммуникаций межрегионального и регионального сообщения;</w:t>
      </w:r>
    </w:p>
    <w:p w:rsidR="007D4BA9" w:rsidRDefault="007D4BA9">
      <w:pPr>
        <w:pStyle w:val="ConsPlusNormal"/>
        <w:spacing w:before="220"/>
        <w:ind w:firstLine="540"/>
        <w:jc w:val="both"/>
      </w:pPr>
      <w:r>
        <w:lastRenderedPageBreak/>
        <w:t xml:space="preserve">2) внутригородское и </w:t>
      </w:r>
      <w:proofErr w:type="spellStart"/>
      <w:r>
        <w:t>пригородно</w:t>
      </w:r>
      <w:proofErr w:type="spellEnd"/>
      <w:r>
        <w:t>-городское сообщение.</w:t>
      </w:r>
    </w:p>
    <w:p w:rsidR="007D4BA9" w:rsidRDefault="007D4BA9">
      <w:pPr>
        <w:pStyle w:val="ConsPlusNormal"/>
        <w:spacing w:before="220"/>
        <w:ind w:firstLine="540"/>
        <w:jc w:val="both"/>
      </w:pPr>
      <w:r>
        <w:t xml:space="preserve">147. Система городского общественного пассажирского транспорта города </w:t>
      </w:r>
      <w:r w:rsidR="000B30E9">
        <w:t>Нижнекамск</w:t>
      </w:r>
      <w:r>
        <w:t xml:space="preserve"> включает скоростной внеуличный пассажирский транспорт, наземный общественный пассажирский транспорт.</w:t>
      </w:r>
    </w:p>
    <w:p w:rsidR="007D4BA9" w:rsidRDefault="007D4BA9">
      <w:pPr>
        <w:pStyle w:val="ConsPlusNormal"/>
        <w:spacing w:before="220"/>
        <w:ind w:firstLine="540"/>
        <w:jc w:val="both"/>
      </w:pPr>
      <w:r>
        <w:t>148. Целостность транспортной системы и координация пассажирских перевозок обеспечиваются транспортно-пересадочными узлами.</w:t>
      </w:r>
    </w:p>
    <w:p w:rsidR="007D4BA9" w:rsidRDefault="007D4BA9">
      <w:pPr>
        <w:pStyle w:val="ConsPlusNormal"/>
        <w:spacing w:before="220"/>
        <w:ind w:firstLine="540"/>
        <w:jc w:val="both"/>
      </w:pPr>
      <w:r>
        <w:t xml:space="preserve">149. Транспортная система города </w:t>
      </w:r>
      <w:r w:rsidR="000B30E9">
        <w:t>Нижнекамск</w:t>
      </w:r>
      <w:r>
        <w:t xml:space="preserve"> и УДС должны обеспечивать средние затраты времени на передвижение от мест проживания до мест приложения труда (в один конец) в часы пик для 90 процентов трудоспособного населения.</w:t>
      </w:r>
    </w:p>
    <w:p w:rsidR="007D4BA9" w:rsidRDefault="007D4BA9">
      <w:pPr>
        <w:pStyle w:val="ConsPlusNormal"/>
        <w:spacing w:before="220"/>
        <w:ind w:firstLine="540"/>
        <w:jc w:val="both"/>
      </w:pPr>
      <w:r>
        <w:t>На общественном транспорте:</w:t>
      </w:r>
    </w:p>
    <w:p w:rsidR="007D4BA9" w:rsidRDefault="007D4BA9">
      <w:pPr>
        <w:pStyle w:val="ConsPlusNormal"/>
        <w:spacing w:before="220"/>
        <w:ind w:firstLine="540"/>
        <w:jc w:val="both"/>
      </w:pPr>
      <w:r>
        <w:t>1) для жителей территорий многоквартирной застройки - не более 35 мин.;</w:t>
      </w:r>
    </w:p>
    <w:p w:rsidR="007D4BA9" w:rsidRDefault="007D4BA9">
      <w:pPr>
        <w:pStyle w:val="ConsPlusNormal"/>
        <w:spacing w:before="220"/>
        <w:ind w:firstLine="540"/>
        <w:jc w:val="both"/>
      </w:pPr>
      <w:r>
        <w:t>2) для жителей территорий ИЖС - не более 45 мин.</w:t>
      </w:r>
    </w:p>
    <w:p w:rsidR="007D4BA9" w:rsidRDefault="007D4BA9">
      <w:pPr>
        <w:pStyle w:val="ConsPlusNormal"/>
        <w:spacing w:before="220"/>
        <w:ind w:firstLine="540"/>
        <w:jc w:val="both"/>
      </w:pPr>
      <w:r>
        <w:t>На индивидуальном транспорте:</w:t>
      </w:r>
    </w:p>
    <w:p w:rsidR="007D4BA9" w:rsidRDefault="007D4BA9">
      <w:pPr>
        <w:pStyle w:val="ConsPlusNormal"/>
        <w:spacing w:before="220"/>
        <w:ind w:firstLine="540"/>
        <w:jc w:val="both"/>
      </w:pPr>
      <w:r>
        <w:t>1) для жителей территорий многоквартирной застройки - не более 35 мин.;</w:t>
      </w:r>
    </w:p>
    <w:p w:rsidR="007D4BA9" w:rsidRDefault="007D4BA9">
      <w:pPr>
        <w:pStyle w:val="ConsPlusNormal"/>
        <w:spacing w:before="220"/>
        <w:ind w:firstLine="540"/>
        <w:jc w:val="both"/>
      </w:pPr>
      <w:r>
        <w:t>2) для жителей территорий ИЖС - не более 40 мин.</w:t>
      </w:r>
    </w:p>
    <w:p w:rsidR="007D4BA9" w:rsidRDefault="007D4BA9">
      <w:pPr>
        <w:pStyle w:val="ConsPlusNormal"/>
        <w:jc w:val="both"/>
      </w:pPr>
    </w:p>
    <w:p w:rsidR="007D4BA9" w:rsidRDefault="007D4BA9">
      <w:pPr>
        <w:pStyle w:val="ConsPlusTitle"/>
        <w:jc w:val="center"/>
        <w:outlineLvl w:val="2"/>
      </w:pPr>
      <w:r>
        <w:t>Глава 29. УДС. КЛАССИФИКАЦИЯ УДС</w:t>
      </w:r>
    </w:p>
    <w:p w:rsidR="007D4BA9" w:rsidRDefault="007D4BA9">
      <w:pPr>
        <w:pStyle w:val="ConsPlusNormal"/>
        <w:jc w:val="both"/>
      </w:pPr>
    </w:p>
    <w:p w:rsidR="007D4BA9" w:rsidRDefault="007D4BA9">
      <w:pPr>
        <w:pStyle w:val="ConsPlusNormal"/>
        <w:ind w:firstLine="540"/>
        <w:jc w:val="both"/>
      </w:pPr>
      <w:r>
        <w:t>150. УДС предназначена для движения транспортных средств и пешеходов. Границы территорий УДС регламентируются линиями градостроительного регулирования.</w:t>
      </w:r>
    </w:p>
    <w:p w:rsidR="007D4BA9" w:rsidRDefault="007D4BA9">
      <w:pPr>
        <w:pStyle w:val="ConsPlusNormal"/>
        <w:spacing w:before="220"/>
        <w:ind w:firstLine="540"/>
        <w:jc w:val="both"/>
      </w:pPr>
      <w:r>
        <w:t>151. На вновь застраиваемых территориях инженерные сети проектируются в отдельном техническом коридоре, то есть вне проезжего полотна автодороги (проезда).</w:t>
      </w:r>
    </w:p>
    <w:p w:rsidR="007D4BA9" w:rsidRDefault="007D4BA9">
      <w:pPr>
        <w:pStyle w:val="ConsPlusNormal"/>
        <w:spacing w:before="220"/>
        <w:ind w:firstLine="540"/>
        <w:jc w:val="both"/>
      </w:pPr>
      <w:r>
        <w:t xml:space="preserve">152. УДС является транспортно-планировочным каркасом, обеспечивающим жизнедеятельность города </w:t>
      </w:r>
      <w:r w:rsidR="000B30E9">
        <w:t>Нижнекамск</w:t>
      </w:r>
      <w:r>
        <w:t>, связанность территорий различного функционального назначения. По УДС осуществляется пропуск всех видов транспорта, которые обслуживают население и юридические лица.</w:t>
      </w:r>
    </w:p>
    <w:p w:rsidR="007D4BA9" w:rsidRDefault="007D4BA9">
      <w:pPr>
        <w:pStyle w:val="ConsPlusNormal"/>
        <w:spacing w:before="220"/>
        <w:ind w:firstLine="540"/>
        <w:jc w:val="both"/>
      </w:pPr>
      <w:r>
        <w:t xml:space="preserve">153. Сеть улиц и площадей формируется как единая городская система в увязке с транспортной системой прилегающих к городу </w:t>
      </w:r>
      <w:r w:rsidR="000B30E9">
        <w:t>Нижнекамск</w:t>
      </w:r>
      <w:r>
        <w:t xml:space="preserve"> территорий.</w:t>
      </w:r>
    </w:p>
    <w:p w:rsidR="007D4BA9" w:rsidRDefault="007D4BA9">
      <w:pPr>
        <w:pStyle w:val="ConsPlusNormal"/>
        <w:spacing w:before="220"/>
        <w:ind w:firstLine="540"/>
        <w:jc w:val="both"/>
      </w:pPr>
      <w:r>
        <w:t>154. При проектировании УДС учитываются особенности архитектурно-планировочной организации территории и характер застройки.</w:t>
      </w:r>
    </w:p>
    <w:p w:rsidR="007D4BA9" w:rsidRDefault="007D4BA9">
      <w:pPr>
        <w:pStyle w:val="ConsPlusNormal"/>
        <w:spacing w:before="220"/>
        <w:ind w:firstLine="540"/>
        <w:jc w:val="both"/>
      </w:pPr>
      <w:r>
        <w:t xml:space="preserve">155. В границах территорий УДС размещаются конструктивные элементы, включая дорожное полотно проезжей части, транспортные площади, разделительные полосы, пути рельсового транспорта (трамвая, легкого рельсового транспорта) и опоры его контактных сетей, защитные ограждения, включая озеленение, технические средства организации дорожного движения, тротуары, развязки, пешеходные переходы вне проезжей части улиц, остановочные пункты, разворотные и </w:t>
      </w:r>
      <w:proofErr w:type="spellStart"/>
      <w:r>
        <w:t>отстойно</w:t>
      </w:r>
      <w:proofErr w:type="spellEnd"/>
      <w:r>
        <w:t>-разворотные площадки городского общественного пассажирского транспорта, объекты освещения и иные подобные устройства и сооружения.</w:t>
      </w:r>
    </w:p>
    <w:p w:rsidR="007D4BA9" w:rsidRDefault="007D4BA9">
      <w:pPr>
        <w:pStyle w:val="ConsPlusNormal"/>
        <w:spacing w:before="220"/>
        <w:ind w:firstLine="540"/>
        <w:jc w:val="both"/>
      </w:pPr>
      <w:r>
        <w:t xml:space="preserve">156. УДС проектируется в виде непрерывной системы с учетом функционального назначения прилегающей застройки, местоположения территорий общегородского центра, мест проживания населения, мест приложения труда и отдыха населения, интенсивности транспортного, велосипедного и пешеходного движения, архитектурно-планировочной организации территории и </w:t>
      </w:r>
      <w:r>
        <w:lastRenderedPageBreak/>
        <w:t>характера застройки.</w:t>
      </w:r>
    </w:p>
    <w:p w:rsidR="007D4BA9" w:rsidRDefault="007D4BA9">
      <w:pPr>
        <w:pStyle w:val="ConsPlusNormal"/>
        <w:spacing w:before="220"/>
        <w:ind w:firstLine="540"/>
        <w:jc w:val="both"/>
      </w:pPr>
      <w:r>
        <w:t>157. В составе УДС выделяют улицы и дороги магистрального и местного значений.</w:t>
      </w:r>
    </w:p>
    <w:p w:rsidR="007D4BA9" w:rsidRDefault="007D4BA9">
      <w:pPr>
        <w:pStyle w:val="ConsPlusNormal"/>
        <w:spacing w:before="220"/>
        <w:ind w:firstLine="540"/>
        <w:jc w:val="both"/>
      </w:pPr>
      <w:r>
        <w:t xml:space="preserve">158. В ходе осуществления нового строительства при формировании контура застройки обеспечивается "треугольник видимости" в соответствии с </w:t>
      </w:r>
      <w:hyperlink r:id="rId47">
        <w:r>
          <w:rPr>
            <w:color w:val="0000FF"/>
          </w:rPr>
          <w:t>СП 396.1325800.2018</w:t>
        </w:r>
      </w:hyperlink>
      <w:r>
        <w:t xml:space="preserve"> "Улицы и дороги населенных пунктов".</w:t>
      </w:r>
    </w:p>
    <w:p w:rsidR="007D4BA9" w:rsidRDefault="007D4BA9">
      <w:pPr>
        <w:pStyle w:val="ConsPlusNormal"/>
        <w:spacing w:before="220"/>
        <w:ind w:firstLine="540"/>
        <w:jc w:val="both"/>
      </w:pPr>
      <w:r>
        <w:t xml:space="preserve">159. Для </w:t>
      </w:r>
      <w:proofErr w:type="gramStart"/>
      <w:r>
        <w:t>микрорайонов ,</w:t>
      </w:r>
      <w:proofErr w:type="gramEnd"/>
      <w:r>
        <w:t xml:space="preserve"> выходящих на УДС городского и районного уровней, требования к застройке должны учитывать линии завалов (желтые линии).</w:t>
      </w:r>
    </w:p>
    <w:p w:rsidR="007D4BA9" w:rsidRDefault="007D4BA9">
      <w:pPr>
        <w:pStyle w:val="ConsPlusNormal"/>
        <w:spacing w:before="220"/>
        <w:ind w:firstLine="540"/>
        <w:jc w:val="both"/>
      </w:pPr>
      <w:r>
        <w:t>160. В проектах межевания территорий кварталов не допускается сужение красных линий УДС с целью сохранения поперечного профиля УДС и технических коридоров инженерных сетей.</w:t>
      </w:r>
    </w:p>
    <w:p w:rsidR="007D4BA9" w:rsidRDefault="007D4BA9">
      <w:pPr>
        <w:pStyle w:val="ConsPlusNormal"/>
        <w:spacing w:before="220"/>
        <w:ind w:firstLine="540"/>
        <w:jc w:val="both"/>
      </w:pPr>
      <w:r>
        <w:t>161. Ось тротуара вдоль улиц и дорог одной категории непрерывна и проходит на фиксированном расстоянии от оси проезжей части в отдельно взятом и смежных кварталах.</w:t>
      </w:r>
    </w:p>
    <w:p w:rsidR="007D4BA9" w:rsidRDefault="007D4BA9">
      <w:pPr>
        <w:pStyle w:val="ConsPlusNormal"/>
        <w:spacing w:before="220"/>
        <w:ind w:firstLine="540"/>
        <w:jc w:val="both"/>
      </w:pPr>
      <w:r>
        <w:t>162. Категории улиц и дорог назначаются в соответствии с таблицей 17.</w:t>
      </w:r>
    </w:p>
    <w:p w:rsidR="007D4BA9" w:rsidRDefault="007D4BA9">
      <w:pPr>
        <w:pStyle w:val="ConsPlusNormal"/>
        <w:jc w:val="both"/>
      </w:pPr>
    </w:p>
    <w:p w:rsidR="007D4BA9" w:rsidRDefault="007D4BA9">
      <w:pPr>
        <w:pStyle w:val="ConsPlusNormal"/>
        <w:jc w:val="right"/>
        <w:outlineLvl w:val="3"/>
      </w:pPr>
      <w:r>
        <w:t>Таблица 17</w:t>
      </w:r>
    </w:p>
    <w:p w:rsidR="007D4BA9" w:rsidRDefault="007D4BA9">
      <w:pPr>
        <w:pStyle w:val="ConsPlusNormal"/>
        <w:jc w:val="both"/>
      </w:pPr>
    </w:p>
    <w:p w:rsidR="007D4BA9" w:rsidRDefault="007D4BA9">
      <w:pPr>
        <w:pStyle w:val="ConsPlusTitle"/>
        <w:jc w:val="center"/>
      </w:pPr>
      <w:bookmarkStart w:id="24" w:name="P1398"/>
      <w:bookmarkEnd w:id="24"/>
      <w:r>
        <w:t>Категории улиц и дорог</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38"/>
        <w:gridCol w:w="6520"/>
      </w:tblGrid>
      <w:tr w:rsidR="007D4BA9">
        <w:tc>
          <w:tcPr>
            <w:tcW w:w="2538" w:type="dxa"/>
          </w:tcPr>
          <w:p w:rsidR="007D4BA9" w:rsidRDefault="007D4BA9">
            <w:pPr>
              <w:pStyle w:val="ConsPlusNormal"/>
              <w:jc w:val="center"/>
            </w:pPr>
            <w:r>
              <w:t>Категории улиц и дорог</w:t>
            </w:r>
          </w:p>
        </w:tc>
        <w:tc>
          <w:tcPr>
            <w:tcW w:w="6520" w:type="dxa"/>
          </w:tcPr>
          <w:p w:rsidR="007D4BA9" w:rsidRDefault="007D4BA9">
            <w:pPr>
              <w:pStyle w:val="ConsPlusNormal"/>
              <w:jc w:val="center"/>
            </w:pPr>
            <w:r>
              <w:t xml:space="preserve">Основная характеристика </w:t>
            </w:r>
            <w:hyperlink w:anchor="P1450">
              <w:r>
                <w:rPr>
                  <w:color w:val="0000FF"/>
                </w:rPr>
                <w:t>&lt;*&gt;</w:t>
              </w:r>
            </w:hyperlink>
          </w:p>
        </w:tc>
      </w:tr>
      <w:tr w:rsidR="007D4BA9">
        <w:tc>
          <w:tcPr>
            <w:tcW w:w="9058" w:type="dxa"/>
            <w:gridSpan w:val="2"/>
          </w:tcPr>
          <w:p w:rsidR="007D4BA9" w:rsidRDefault="007D4BA9">
            <w:pPr>
              <w:pStyle w:val="ConsPlusNormal"/>
              <w:jc w:val="center"/>
              <w:outlineLvl w:val="3"/>
            </w:pPr>
            <w:r>
              <w:t>Магистральные городские улицы и дороги</w:t>
            </w:r>
          </w:p>
        </w:tc>
      </w:tr>
      <w:tr w:rsidR="007D4BA9">
        <w:tc>
          <w:tcPr>
            <w:tcW w:w="2538" w:type="dxa"/>
          </w:tcPr>
          <w:p w:rsidR="007D4BA9" w:rsidRDefault="007D4BA9">
            <w:pPr>
              <w:pStyle w:val="ConsPlusNormal"/>
            </w:pPr>
            <w:r>
              <w:t>Дороги межрегионального значения</w:t>
            </w:r>
          </w:p>
        </w:tc>
        <w:tc>
          <w:tcPr>
            <w:tcW w:w="6520" w:type="dxa"/>
          </w:tcPr>
          <w:p w:rsidR="007D4BA9" w:rsidRDefault="007D4BA9">
            <w:pPr>
              <w:pStyle w:val="ConsPlusNormal"/>
              <w:jc w:val="both"/>
            </w:pPr>
            <w:r>
              <w:t xml:space="preserve">Скоростные транспортные связи, указанные в </w:t>
            </w:r>
            <w:hyperlink r:id="rId48">
              <w:r>
                <w:rPr>
                  <w:color w:val="0000FF"/>
                </w:rPr>
                <w:t>Схеме</w:t>
              </w:r>
            </w:hyperlink>
            <w:r>
              <w:t xml:space="preserve"> территориального планирования Республики Татарстан как дороги республиканского значения, являющиеся выходами на внешние автомобильные дороги, к аэропортам, крупным зонам массового отдыха, а также дорога федерального значения М7.</w:t>
            </w:r>
          </w:p>
          <w:p w:rsidR="007D4BA9" w:rsidRDefault="007D4BA9">
            <w:pPr>
              <w:pStyle w:val="ConsPlusNormal"/>
              <w:jc w:val="both"/>
            </w:pPr>
            <w:r>
              <w:t>Движение непрерывное.</w:t>
            </w:r>
          </w:p>
          <w:p w:rsidR="007D4BA9" w:rsidRDefault="007D4BA9">
            <w:pPr>
              <w:pStyle w:val="ConsPlusNormal"/>
              <w:jc w:val="both"/>
            </w:pPr>
            <w:r>
              <w:t>Доступ транспортных средств через развязки в разных уровнях.</w:t>
            </w:r>
          </w:p>
          <w:p w:rsidR="007D4BA9" w:rsidRDefault="007D4BA9">
            <w:pPr>
              <w:pStyle w:val="ConsPlusNormal"/>
              <w:jc w:val="both"/>
            </w:pPr>
            <w:r>
              <w:t>Пересечение с дорогами и улицами всех категорий в разных уровнях.</w:t>
            </w:r>
          </w:p>
          <w:p w:rsidR="007D4BA9" w:rsidRDefault="007D4BA9">
            <w:pPr>
              <w:pStyle w:val="ConsPlusNormal"/>
              <w:jc w:val="both"/>
            </w:pPr>
            <w:r>
              <w:t>Пешеходные переходы - вне проезжей части</w:t>
            </w:r>
          </w:p>
        </w:tc>
      </w:tr>
      <w:tr w:rsidR="007D4BA9">
        <w:tc>
          <w:tcPr>
            <w:tcW w:w="2538" w:type="dxa"/>
          </w:tcPr>
          <w:p w:rsidR="007D4BA9" w:rsidRDefault="007D4BA9">
            <w:pPr>
              <w:pStyle w:val="ConsPlusNormal"/>
            </w:pPr>
            <w:r>
              <w:t>Местные дороги на незастроенных территориях (IV категории)</w:t>
            </w:r>
          </w:p>
        </w:tc>
        <w:tc>
          <w:tcPr>
            <w:tcW w:w="6520" w:type="dxa"/>
          </w:tcPr>
          <w:p w:rsidR="007D4BA9" w:rsidRDefault="007D4BA9">
            <w:pPr>
              <w:pStyle w:val="ConsPlusNormal"/>
              <w:jc w:val="both"/>
            </w:pPr>
            <w:r>
              <w:t>Городские дороги, проходящие по незастроенным территориям, в том числе выполняющие роль дублера М7, или вблизи территорий с низкой плотностью застройки, выполняющие функции объездных магистралей</w:t>
            </w:r>
          </w:p>
        </w:tc>
      </w:tr>
      <w:tr w:rsidR="007D4BA9">
        <w:tc>
          <w:tcPr>
            <w:tcW w:w="2538" w:type="dxa"/>
          </w:tcPr>
          <w:p w:rsidR="007D4BA9" w:rsidRDefault="007D4BA9">
            <w:pPr>
              <w:pStyle w:val="ConsPlusNormal"/>
            </w:pPr>
            <w:r>
              <w:t>Улицы и дороги общегородского значения 1-го класса</w:t>
            </w:r>
          </w:p>
        </w:tc>
        <w:tc>
          <w:tcPr>
            <w:tcW w:w="6520" w:type="dxa"/>
          </w:tcPr>
          <w:p w:rsidR="007D4BA9" w:rsidRDefault="007D4BA9">
            <w:pPr>
              <w:pStyle w:val="ConsPlusNormal"/>
              <w:jc w:val="both"/>
            </w:pPr>
            <w:r>
              <w:t>Транспортная связь между жилыми, промышленными районами и общественными центрами в крупнейших, крупных и больших городах, а также с другими магистральными улицами, городскими и внешними автомобильными дорогами.</w:t>
            </w:r>
          </w:p>
          <w:p w:rsidR="007D4BA9" w:rsidRDefault="007D4BA9">
            <w:pPr>
              <w:pStyle w:val="ConsPlusNormal"/>
              <w:jc w:val="both"/>
            </w:pPr>
            <w:r>
              <w:t>Основные транспортные коммуникации, обеспечивающие скоростные связи в пределах городских территорий.</w:t>
            </w:r>
          </w:p>
          <w:p w:rsidR="007D4BA9" w:rsidRDefault="007D4BA9">
            <w:pPr>
              <w:pStyle w:val="ConsPlusNormal"/>
              <w:jc w:val="both"/>
            </w:pPr>
            <w:r>
              <w:t>Движение - непрерывное или регулируемое.</w:t>
            </w:r>
          </w:p>
          <w:p w:rsidR="007D4BA9" w:rsidRDefault="007D4BA9">
            <w:pPr>
              <w:pStyle w:val="ConsPlusNormal"/>
              <w:jc w:val="both"/>
            </w:pPr>
            <w:r>
              <w:t>Обслуживание прилегающей застройки осуществляется с боковых или местных проездов.</w:t>
            </w:r>
          </w:p>
          <w:p w:rsidR="007D4BA9" w:rsidRDefault="007D4BA9">
            <w:pPr>
              <w:pStyle w:val="ConsPlusNormal"/>
              <w:jc w:val="both"/>
            </w:pPr>
            <w:r>
              <w:t>Пешеходные переходы устраиваются вне проезжей части</w:t>
            </w:r>
          </w:p>
        </w:tc>
      </w:tr>
      <w:tr w:rsidR="007D4BA9">
        <w:tc>
          <w:tcPr>
            <w:tcW w:w="2538" w:type="dxa"/>
          </w:tcPr>
          <w:p w:rsidR="007D4BA9" w:rsidRDefault="007D4BA9">
            <w:pPr>
              <w:pStyle w:val="ConsPlusNormal"/>
            </w:pPr>
            <w:r>
              <w:t xml:space="preserve">Улицы и дороги </w:t>
            </w:r>
            <w:r>
              <w:lastRenderedPageBreak/>
              <w:t>общегородского значения 2-го класса</w:t>
            </w:r>
          </w:p>
        </w:tc>
        <w:tc>
          <w:tcPr>
            <w:tcW w:w="6520" w:type="dxa"/>
          </w:tcPr>
          <w:p w:rsidR="007D4BA9" w:rsidRDefault="007D4BA9">
            <w:pPr>
              <w:pStyle w:val="ConsPlusNormal"/>
              <w:jc w:val="both"/>
            </w:pPr>
            <w:r>
              <w:lastRenderedPageBreak/>
              <w:t xml:space="preserve">Транспортная связь между жилыми, промышленными районами и </w:t>
            </w:r>
            <w:r>
              <w:lastRenderedPageBreak/>
              <w:t>центром города, общественными центрами; выходы на внешние автомобильные дороги.</w:t>
            </w:r>
          </w:p>
          <w:p w:rsidR="007D4BA9" w:rsidRDefault="007D4BA9">
            <w:pPr>
              <w:pStyle w:val="ConsPlusNormal"/>
              <w:jc w:val="both"/>
            </w:pPr>
            <w:r>
              <w:t>Движение регулируемое.</w:t>
            </w:r>
          </w:p>
          <w:p w:rsidR="007D4BA9" w:rsidRDefault="007D4BA9">
            <w:pPr>
              <w:pStyle w:val="ConsPlusNormal"/>
              <w:jc w:val="both"/>
            </w:pPr>
            <w:r>
              <w:t>Для движения наземного общественного транспорта устраивается выделенная полоса при соответствующем обосновании.</w:t>
            </w:r>
          </w:p>
          <w:p w:rsidR="007D4BA9" w:rsidRDefault="007D4BA9">
            <w:pPr>
              <w:pStyle w:val="ConsPlusNormal"/>
              <w:jc w:val="both"/>
            </w:pPr>
            <w:r>
              <w:t>Пересечение с дорогами и улицами других категорий в одном и разных уровнях.</w:t>
            </w:r>
          </w:p>
          <w:p w:rsidR="007D4BA9" w:rsidRDefault="007D4BA9">
            <w:pPr>
              <w:pStyle w:val="ConsPlusNormal"/>
              <w:jc w:val="both"/>
            </w:pPr>
            <w:r>
              <w:t>Пешеходные переходы устраиваются вне проезжей части и на уровне проезжей части со светофорным регулированием</w:t>
            </w:r>
          </w:p>
        </w:tc>
      </w:tr>
      <w:tr w:rsidR="007D4BA9">
        <w:tc>
          <w:tcPr>
            <w:tcW w:w="2538" w:type="dxa"/>
          </w:tcPr>
          <w:p w:rsidR="007D4BA9" w:rsidRDefault="007D4BA9">
            <w:pPr>
              <w:pStyle w:val="ConsPlusNormal"/>
            </w:pPr>
            <w:r>
              <w:lastRenderedPageBreak/>
              <w:t>Улицы и дороги общегородского значения 3-го класса</w:t>
            </w:r>
          </w:p>
        </w:tc>
        <w:tc>
          <w:tcPr>
            <w:tcW w:w="6520" w:type="dxa"/>
          </w:tcPr>
          <w:p w:rsidR="007D4BA9" w:rsidRDefault="007D4BA9">
            <w:pPr>
              <w:pStyle w:val="ConsPlusNormal"/>
              <w:jc w:val="both"/>
            </w:pPr>
            <w:r>
              <w:t>Транспортная связь между жилыми, промышленными районами и центром города. Движение регулируемое и саморегулируемое.</w:t>
            </w:r>
          </w:p>
          <w:p w:rsidR="007D4BA9" w:rsidRDefault="007D4BA9">
            <w:pPr>
              <w:pStyle w:val="ConsPlusNormal"/>
              <w:jc w:val="both"/>
            </w:pPr>
            <w:r>
              <w:t>Пропуск для всех видов транспорта.</w:t>
            </w:r>
          </w:p>
          <w:p w:rsidR="007D4BA9" w:rsidRDefault="007D4BA9">
            <w:pPr>
              <w:pStyle w:val="ConsPlusNormal"/>
              <w:jc w:val="both"/>
            </w:pPr>
            <w:r>
              <w:t>Для движения наземного общественного транспорта устраивается выделенная полоса при соответствующем обосновании.</w:t>
            </w:r>
          </w:p>
          <w:p w:rsidR="007D4BA9" w:rsidRDefault="007D4BA9">
            <w:pPr>
              <w:pStyle w:val="ConsPlusNormal"/>
              <w:jc w:val="both"/>
            </w:pPr>
            <w:r>
              <w:t>Пешеходные переходы устраиваются на уровне проезжей части</w:t>
            </w:r>
          </w:p>
        </w:tc>
      </w:tr>
      <w:tr w:rsidR="007D4BA9">
        <w:tc>
          <w:tcPr>
            <w:tcW w:w="2538" w:type="dxa"/>
          </w:tcPr>
          <w:p w:rsidR="007D4BA9" w:rsidRDefault="007D4BA9">
            <w:pPr>
              <w:pStyle w:val="ConsPlusNormal"/>
            </w:pPr>
            <w:r>
              <w:t>Улицы и дороги районного значения</w:t>
            </w:r>
          </w:p>
        </w:tc>
        <w:tc>
          <w:tcPr>
            <w:tcW w:w="6520" w:type="dxa"/>
          </w:tcPr>
          <w:p w:rsidR="007D4BA9" w:rsidRDefault="007D4BA9">
            <w:pPr>
              <w:pStyle w:val="ConsPlusNormal"/>
              <w:jc w:val="both"/>
            </w:pPr>
            <w:r>
              <w:t>Транспортная и пешеходная связи в пределах жилых районов, выходы на другие магистральные улицы.</w:t>
            </w:r>
          </w:p>
          <w:p w:rsidR="007D4BA9" w:rsidRDefault="007D4BA9">
            <w:pPr>
              <w:pStyle w:val="ConsPlusNormal"/>
              <w:jc w:val="both"/>
            </w:pPr>
            <w:r>
              <w:t>Обеспечивают выход на улицы и дороги межрайонного и общегородского значения. Движение регулируемое и саморегулируемое. Пересечение с дорогами и улицами в одном уровне.</w:t>
            </w:r>
          </w:p>
          <w:p w:rsidR="007D4BA9" w:rsidRDefault="007D4BA9">
            <w:pPr>
              <w:pStyle w:val="ConsPlusNormal"/>
              <w:jc w:val="both"/>
            </w:pPr>
            <w:r>
              <w:t>Пешеходные переходы устраиваются на уровне проезжей части и вне проезжей части</w:t>
            </w:r>
          </w:p>
        </w:tc>
      </w:tr>
      <w:tr w:rsidR="007D4BA9">
        <w:tc>
          <w:tcPr>
            <w:tcW w:w="9058" w:type="dxa"/>
            <w:gridSpan w:val="2"/>
          </w:tcPr>
          <w:p w:rsidR="007D4BA9" w:rsidRDefault="007D4BA9">
            <w:pPr>
              <w:pStyle w:val="ConsPlusNormal"/>
              <w:jc w:val="center"/>
              <w:outlineLvl w:val="3"/>
            </w:pPr>
            <w:r>
              <w:t>Улицы и дороги местного значения</w:t>
            </w:r>
          </w:p>
        </w:tc>
      </w:tr>
      <w:tr w:rsidR="007D4BA9">
        <w:tc>
          <w:tcPr>
            <w:tcW w:w="2538" w:type="dxa"/>
          </w:tcPr>
          <w:p w:rsidR="007D4BA9" w:rsidRDefault="007D4BA9">
            <w:pPr>
              <w:pStyle w:val="ConsPlusNormal"/>
            </w:pPr>
            <w:r>
              <w:t>В зонах многоквартирной жилой и общественной застройки</w:t>
            </w:r>
          </w:p>
        </w:tc>
        <w:tc>
          <w:tcPr>
            <w:tcW w:w="6520" w:type="dxa"/>
          </w:tcPr>
          <w:p w:rsidR="007D4BA9" w:rsidRDefault="007D4BA9">
            <w:pPr>
              <w:pStyle w:val="ConsPlusNormal"/>
              <w:jc w:val="both"/>
            </w:pPr>
            <w:r>
              <w:t>Транспортные и пешеходные связи на территории жилых районов (микрорайонов), выходы на магистральные улицы районного значения, улицы и дороги регулируемого движения.</w:t>
            </w:r>
          </w:p>
          <w:p w:rsidR="007D4BA9" w:rsidRDefault="007D4BA9">
            <w:pPr>
              <w:pStyle w:val="ConsPlusNormal"/>
              <w:jc w:val="both"/>
            </w:pPr>
            <w:r>
              <w:t>Обеспечивают непосредственный доступ к зданиям и земельным участкам.</w:t>
            </w:r>
          </w:p>
          <w:p w:rsidR="007D4BA9" w:rsidRDefault="007D4BA9">
            <w:pPr>
              <w:pStyle w:val="ConsPlusNormal"/>
              <w:jc w:val="both"/>
            </w:pPr>
            <w:r>
              <w:t>Транспортные и пешеходные связи внутри зон и районов для обеспечения доступа к торговым, офисным и административным зданиям, объектам сервисного обслуживания населения, образовательным организациям и др.</w:t>
            </w:r>
          </w:p>
          <w:p w:rsidR="007D4BA9" w:rsidRDefault="007D4BA9">
            <w:pPr>
              <w:pStyle w:val="ConsPlusNormal"/>
              <w:jc w:val="both"/>
            </w:pPr>
            <w:r>
              <w:t>Пешеходные переходы устраиваются на уровне проезжей части</w:t>
            </w:r>
          </w:p>
        </w:tc>
      </w:tr>
      <w:tr w:rsidR="007D4BA9">
        <w:tc>
          <w:tcPr>
            <w:tcW w:w="2538" w:type="dxa"/>
          </w:tcPr>
          <w:p w:rsidR="007D4BA9" w:rsidRDefault="007D4BA9">
            <w:pPr>
              <w:pStyle w:val="ConsPlusNormal"/>
            </w:pPr>
            <w:r>
              <w:t>В зонах производственного назначения</w:t>
            </w:r>
          </w:p>
        </w:tc>
        <w:tc>
          <w:tcPr>
            <w:tcW w:w="6520" w:type="dxa"/>
          </w:tcPr>
          <w:p w:rsidR="007D4BA9" w:rsidRDefault="007D4BA9">
            <w:pPr>
              <w:pStyle w:val="ConsPlusNormal"/>
              <w:jc w:val="both"/>
            </w:pPr>
            <w:r>
              <w:t>Транспортные и пешеходные связи внутри промышленных, коммунально-складских зон и районов, обеспечение доступа к зданиям и земельным участкам этих зон.</w:t>
            </w:r>
          </w:p>
          <w:p w:rsidR="007D4BA9" w:rsidRDefault="007D4BA9">
            <w:pPr>
              <w:pStyle w:val="ConsPlusNormal"/>
              <w:jc w:val="both"/>
            </w:pPr>
            <w:r>
              <w:t>Пешеходные переходы устраиваются на уровне проезжей части</w:t>
            </w:r>
          </w:p>
        </w:tc>
      </w:tr>
      <w:tr w:rsidR="007D4BA9">
        <w:tc>
          <w:tcPr>
            <w:tcW w:w="2538" w:type="dxa"/>
          </w:tcPr>
          <w:p w:rsidR="007D4BA9" w:rsidRDefault="007D4BA9">
            <w:pPr>
              <w:pStyle w:val="ConsPlusNormal"/>
            </w:pPr>
            <w:r>
              <w:t>В зонах ИЖС</w:t>
            </w:r>
          </w:p>
        </w:tc>
        <w:tc>
          <w:tcPr>
            <w:tcW w:w="6520" w:type="dxa"/>
          </w:tcPr>
          <w:p w:rsidR="007D4BA9" w:rsidRDefault="007D4BA9">
            <w:pPr>
              <w:pStyle w:val="ConsPlusNormal"/>
              <w:jc w:val="both"/>
            </w:pPr>
            <w:r>
              <w:t>Улица(-ы) проходит(-</w:t>
            </w:r>
            <w:proofErr w:type="spellStart"/>
            <w:r>
              <w:t>ят</w:t>
            </w:r>
            <w:proofErr w:type="spellEnd"/>
            <w:r>
              <w:t>) по всей территории ИЖС, осуществляет(-ют) основные транспортные и пешеходные связи, а также связь территории жилой застройки с общественным центром. Выходит(-</w:t>
            </w:r>
            <w:proofErr w:type="spellStart"/>
            <w:r>
              <w:t>ят</w:t>
            </w:r>
            <w:proofErr w:type="spellEnd"/>
            <w:r>
              <w:t>) на внешние дороги</w:t>
            </w:r>
          </w:p>
        </w:tc>
      </w:tr>
      <w:tr w:rsidR="007D4BA9">
        <w:tc>
          <w:tcPr>
            <w:tcW w:w="9058" w:type="dxa"/>
            <w:gridSpan w:val="2"/>
          </w:tcPr>
          <w:p w:rsidR="007D4BA9" w:rsidRDefault="007D4BA9">
            <w:pPr>
              <w:pStyle w:val="ConsPlusNormal"/>
              <w:jc w:val="center"/>
              <w:outlineLvl w:val="3"/>
            </w:pPr>
            <w:r>
              <w:t>Пешеходные пространства и коммуникации в составе УДС</w:t>
            </w:r>
          </w:p>
        </w:tc>
      </w:tr>
      <w:tr w:rsidR="007D4BA9">
        <w:tc>
          <w:tcPr>
            <w:tcW w:w="2538" w:type="dxa"/>
          </w:tcPr>
          <w:p w:rsidR="007D4BA9" w:rsidRDefault="007D4BA9">
            <w:pPr>
              <w:pStyle w:val="ConsPlusNormal"/>
            </w:pPr>
            <w:r>
              <w:t>Пешеходные зоны, пешеходные улицы, площади, набережные</w:t>
            </w:r>
          </w:p>
        </w:tc>
        <w:tc>
          <w:tcPr>
            <w:tcW w:w="6520" w:type="dxa"/>
          </w:tcPr>
          <w:p w:rsidR="007D4BA9" w:rsidRDefault="007D4BA9">
            <w:pPr>
              <w:pStyle w:val="ConsPlusNormal"/>
              <w:jc w:val="both"/>
            </w:pPr>
            <w:r>
              <w:t>Благоустроенные пространства в составе УДС, предназначенные для движения и отдыха пешеходов с обеспечением полной безопасности и высокого комфорта пребывания.</w:t>
            </w:r>
          </w:p>
          <w:p w:rsidR="007D4BA9" w:rsidRDefault="007D4BA9">
            <w:pPr>
              <w:pStyle w:val="ConsPlusNormal"/>
              <w:jc w:val="both"/>
            </w:pPr>
            <w:r>
              <w:t xml:space="preserve">Движение всех видов транспорта, кроме велосипедного, </w:t>
            </w:r>
            <w:r>
              <w:lastRenderedPageBreak/>
              <w:t>исключено. Обеспечивается возможность проезда специального транспорта.</w:t>
            </w:r>
          </w:p>
          <w:p w:rsidR="007D4BA9" w:rsidRDefault="007D4BA9">
            <w:pPr>
              <w:pStyle w:val="ConsPlusNormal"/>
              <w:jc w:val="both"/>
            </w:pPr>
            <w:r>
              <w:t>Устраиваются, как правило, на улицах местного значения; устройство пешеходных зон на улицах районного значения осуществляется при наличии дублирующих направлений на расстоянии не более 400 м при наличии резерва пропускной способности</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25" w:name="P1450"/>
      <w:bookmarkEnd w:id="25"/>
      <w:r>
        <w:t xml:space="preserve">&lt;*&gt; Расчетные показатели принимаются в соответствии с </w:t>
      </w:r>
      <w:hyperlink r:id="rId49">
        <w:r>
          <w:rPr>
            <w:color w:val="0000FF"/>
          </w:rPr>
          <w:t>СП 42.13330.2021</w:t>
        </w:r>
      </w:hyperlink>
      <w:r>
        <w:t>.</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1. Поперечный профиль улиц и дорог одной категории, проходящих в продолжение друг друга, не должен меняться. Изменение профиля осуществляется при условиях соблюдения установленных минимальных параметров поперечного профиля для данной категории УДС и сохранения технических коридоров инженерных сетей.</w:t>
      </w:r>
    </w:p>
    <w:p w:rsidR="007D4BA9" w:rsidRDefault="007D4BA9">
      <w:pPr>
        <w:pStyle w:val="ConsPlusNormal"/>
        <w:spacing w:before="220"/>
        <w:ind w:firstLine="540"/>
        <w:jc w:val="both"/>
      </w:pPr>
      <w:r>
        <w:t>2. На дорогах различных категорий, проходящих по незастроенным территориям, разрешается организовывать тротуар только с одной стороны дороги (минимальной ширины - 0,75 - 1 м) с обязательным резервированием территорий под тротуары и технические коридоры для инженерных сетей в соответствии с перспективной застройкой.</w:t>
      </w:r>
    </w:p>
    <w:p w:rsidR="007D4BA9" w:rsidRDefault="007D4BA9">
      <w:pPr>
        <w:pStyle w:val="ConsPlusNormal"/>
        <w:spacing w:before="220"/>
        <w:ind w:firstLine="540"/>
        <w:jc w:val="both"/>
      </w:pPr>
      <w:r>
        <w:t xml:space="preserve">3. В условиях существующей застройки, а также для улиц районного значения разрешается устройство магистралей или их участков, предназначенных только для пропуска средств общественного транспорта, с организацией движения трамваев, троллейбусов, автобусов по проезжей части и движения пешеходов по тротуарам и, соответственно, с уменьшением поперечного профиля в красных линиях, указанных в данной </w:t>
      </w:r>
      <w:hyperlink w:anchor="P1398">
        <w:r>
          <w:rPr>
            <w:color w:val="0000FF"/>
          </w:rPr>
          <w:t>таблице</w:t>
        </w:r>
      </w:hyperlink>
      <w:r>
        <w:t>.</w:t>
      </w:r>
    </w:p>
    <w:p w:rsidR="007D4BA9" w:rsidRDefault="007D4BA9">
      <w:pPr>
        <w:pStyle w:val="ConsPlusNormal"/>
        <w:spacing w:before="220"/>
        <w:ind w:firstLine="540"/>
        <w:jc w:val="both"/>
      </w:pPr>
      <w:r>
        <w:t>4. В составе УДС выделяются главные улицы, являющиеся основой архитектурно-планировочного построения общегородского центра.</w:t>
      </w:r>
    </w:p>
    <w:p w:rsidR="007D4BA9" w:rsidRDefault="007D4BA9">
      <w:pPr>
        <w:pStyle w:val="ConsPlusNormal"/>
        <w:jc w:val="both"/>
      </w:pPr>
    </w:p>
    <w:p w:rsidR="007D4BA9" w:rsidRDefault="007D4BA9">
      <w:pPr>
        <w:pStyle w:val="ConsPlusNormal"/>
        <w:ind w:firstLine="540"/>
        <w:jc w:val="both"/>
      </w:pPr>
      <w:r>
        <w:t>163. Основные параметры поперечного профиля УДС различных категорий принимаются в соответствии с таблицей 18.</w:t>
      </w:r>
    </w:p>
    <w:p w:rsidR="007D4BA9" w:rsidRDefault="007D4BA9">
      <w:pPr>
        <w:pStyle w:val="ConsPlusNormal"/>
        <w:jc w:val="both"/>
      </w:pPr>
    </w:p>
    <w:p w:rsidR="007D4BA9" w:rsidRDefault="007D4BA9">
      <w:pPr>
        <w:pStyle w:val="ConsPlusNormal"/>
        <w:jc w:val="right"/>
        <w:outlineLvl w:val="3"/>
      </w:pPr>
      <w:r>
        <w:t>Таблица 18</w:t>
      </w:r>
    </w:p>
    <w:p w:rsidR="007D4BA9" w:rsidRDefault="007D4BA9">
      <w:pPr>
        <w:pStyle w:val="ConsPlusNormal"/>
        <w:jc w:val="both"/>
      </w:pPr>
    </w:p>
    <w:p w:rsidR="007D4BA9" w:rsidRDefault="007D4BA9">
      <w:pPr>
        <w:pStyle w:val="ConsPlusTitle"/>
        <w:jc w:val="center"/>
      </w:pPr>
      <w:r>
        <w:t>Основные параметры поперечного профиля УДС</w:t>
      </w:r>
    </w:p>
    <w:p w:rsidR="007D4BA9" w:rsidRDefault="007D4BA9">
      <w:pPr>
        <w:pStyle w:val="ConsPlusTitle"/>
        <w:jc w:val="center"/>
      </w:pPr>
      <w:r>
        <w:t>различных категорий</w:t>
      </w:r>
    </w:p>
    <w:p w:rsidR="007D4BA9" w:rsidRDefault="007D4BA9">
      <w:pPr>
        <w:pStyle w:val="ConsPlusNormal"/>
        <w:jc w:val="both"/>
      </w:pPr>
    </w:p>
    <w:p w:rsidR="007D4BA9" w:rsidRDefault="007D4BA9">
      <w:pPr>
        <w:pStyle w:val="ConsPlusNormal"/>
        <w:sectPr w:rsidR="007D4B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1225"/>
        <w:gridCol w:w="1359"/>
        <w:gridCol w:w="1225"/>
        <w:gridCol w:w="1635"/>
        <w:gridCol w:w="1359"/>
        <w:gridCol w:w="1506"/>
      </w:tblGrid>
      <w:tr w:rsidR="007D4BA9">
        <w:tc>
          <w:tcPr>
            <w:tcW w:w="1984" w:type="dxa"/>
            <w:vAlign w:val="center"/>
          </w:tcPr>
          <w:p w:rsidR="007D4BA9" w:rsidRDefault="007D4BA9">
            <w:pPr>
              <w:pStyle w:val="ConsPlusNormal"/>
              <w:jc w:val="center"/>
            </w:pPr>
            <w:r>
              <w:lastRenderedPageBreak/>
              <w:t>Категория улиц</w:t>
            </w:r>
          </w:p>
        </w:tc>
        <w:tc>
          <w:tcPr>
            <w:tcW w:w="1225" w:type="dxa"/>
            <w:vAlign w:val="center"/>
          </w:tcPr>
          <w:p w:rsidR="007D4BA9" w:rsidRDefault="007D4BA9">
            <w:pPr>
              <w:pStyle w:val="ConsPlusNormal"/>
              <w:jc w:val="center"/>
            </w:pPr>
            <w:r>
              <w:t xml:space="preserve">Ширина в красных линиях, м </w:t>
            </w:r>
            <w:hyperlink w:anchor="P1547">
              <w:r>
                <w:rPr>
                  <w:color w:val="0000FF"/>
                </w:rPr>
                <w:t>&lt;*&gt;</w:t>
              </w:r>
            </w:hyperlink>
          </w:p>
        </w:tc>
        <w:tc>
          <w:tcPr>
            <w:tcW w:w="1359" w:type="dxa"/>
            <w:vAlign w:val="center"/>
          </w:tcPr>
          <w:p w:rsidR="007D4BA9" w:rsidRDefault="007D4BA9">
            <w:pPr>
              <w:pStyle w:val="ConsPlusNormal"/>
              <w:jc w:val="center"/>
            </w:pPr>
            <w:r>
              <w:t xml:space="preserve">Расчетная скорость движения, км/ч </w:t>
            </w:r>
            <w:hyperlink w:anchor="P1547">
              <w:r>
                <w:rPr>
                  <w:color w:val="0000FF"/>
                </w:rPr>
                <w:t>&lt;*&gt;</w:t>
              </w:r>
            </w:hyperlink>
          </w:p>
        </w:tc>
        <w:tc>
          <w:tcPr>
            <w:tcW w:w="1225" w:type="dxa"/>
            <w:vAlign w:val="center"/>
          </w:tcPr>
          <w:p w:rsidR="007D4BA9" w:rsidRDefault="007D4BA9">
            <w:pPr>
              <w:pStyle w:val="ConsPlusNormal"/>
              <w:jc w:val="center"/>
            </w:pPr>
            <w:r>
              <w:t xml:space="preserve">Ширина полосы движения, м </w:t>
            </w:r>
            <w:hyperlink w:anchor="P1547">
              <w:r>
                <w:rPr>
                  <w:color w:val="0000FF"/>
                </w:rPr>
                <w:t>&lt;*&gt;</w:t>
              </w:r>
            </w:hyperlink>
          </w:p>
        </w:tc>
        <w:tc>
          <w:tcPr>
            <w:tcW w:w="1635" w:type="dxa"/>
            <w:vAlign w:val="center"/>
          </w:tcPr>
          <w:p w:rsidR="007D4BA9" w:rsidRDefault="007D4BA9">
            <w:pPr>
              <w:pStyle w:val="ConsPlusNormal"/>
              <w:jc w:val="center"/>
            </w:pPr>
            <w:r>
              <w:t xml:space="preserve">Количество полос движения (суммарно в 2 направлениях), ед. </w:t>
            </w:r>
            <w:hyperlink w:anchor="P1547">
              <w:r>
                <w:rPr>
                  <w:color w:val="0000FF"/>
                </w:rPr>
                <w:t>&lt;*&gt;</w:t>
              </w:r>
            </w:hyperlink>
          </w:p>
        </w:tc>
        <w:tc>
          <w:tcPr>
            <w:tcW w:w="1359" w:type="dxa"/>
            <w:vAlign w:val="center"/>
          </w:tcPr>
          <w:p w:rsidR="007D4BA9" w:rsidRDefault="007D4BA9">
            <w:pPr>
              <w:pStyle w:val="ConsPlusNormal"/>
              <w:jc w:val="center"/>
            </w:pPr>
            <w:r>
              <w:t xml:space="preserve">Наименьший радиус кривых в плане с виражом/без виража, м </w:t>
            </w:r>
            <w:hyperlink w:anchor="P1547">
              <w:r>
                <w:rPr>
                  <w:color w:val="0000FF"/>
                </w:rPr>
                <w:t>&lt;*&gt;</w:t>
              </w:r>
            </w:hyperlink>
          </w:p>
        </w:tc>
        <w:tc>
          <w:tcPr>
            <w:tcW w:w="1506" w:type="dxa"/>
            <w:vAlign w:val="center"/>
          </w:tcPr>
          <w:p w:rsidR="007D4BA9" w:rsidRDefault="007D4BA9">
            <w:pPr>
              <w:pStyle w:val="ConsPlusNormal"/>
              <w:jc w:val="center"/>
            </w:pPr>
            <w:r>
              <w:t>Наибольший продольный уклон, °/°°</w:t>
            </w:r>
            <w:hyperlink w:anchor="P1547">
              <w:r>
                <w:rPr>
                  <w:color w:val="0000FF"/>
                </w:rPr>
                <w:t>&lt;*&gt;</w:t>
              </w:r>
            </w:hyperlink>
          </w:p>
        </w:tc>
      </w:tr>
      <w:tr w:rsidR="007D4BA9">
        <w:tc>
          <w:tcPr>
            <w:tcW w:w="1984" w:type="dxa"/>
            <w:vMerge w:val="restart"/>
            <w:vAlign w:val="center"/>
          </w:tcPr>
          <w:p w:rsidR="007D4BA9" w:rsidRDefault="007D4BA9">
            <w:pPr>
              <w:pStyle w:val="ConsPlusNormal"/>
            </w:pPr>
            <w:r>
              <w:t>Дороги межрегионального значения</w:t>
            </w:r>
          </w:p>
        </w:tc>
        <w:tc>
          <w:tcPr>
            <w:tcW w:w="1225" w:type="dxa"/>
            <w:vAlign w:val="center"/>
          </w:tcPr>
          <w:p w:rsidR="007D4BA9" w:rsidRDefault="007D4BA9">
            <w:pPr>
              <w:pStyle w:val="ConsPlusNormal"/>
              <w:jc w:val="center"/>
            </w:pPr>
            <w:r>
              <w:t>-</w:t>
            </w:r>
          </w:p>
        </w:tc>
        <w:tc>
          <w:tcPr>
            <w:tcW w:w="1359" w:type="dxa"/>
            <w:vAlign w:val="center"/>
          </w:tcPr>
          <w:p w:rsidR="007D4BA9" w:rsidRDefault="007D4BA9">
            <w:pPr>
              <w:pStyle w:val="ConsPlusNormal"/>
              <w:jc w:val="center"/>
            </w:pPr>
            <w:r>
              <w:t>120</w:t>
            </w:r>
          </w:p>
        </w:tc>
        <w:tc>
          <w:tcPr>
            <w:tcW w:w="1225" w:type="dxa"/>
            <w:vAlign w:val="center"/>
          </w:tcPr>
          <w:p w:rsidR="007D4BA9" w:rsidRDefault="007D4BA9">
            <w:pPr>
              <w:pStyle w:val="ConsPlusNormal"/>
              <w:jc w:val="center"/>
            </w:pPr>
            <w:r>
              <w:t>3,75</w:t>
            </w:r>
          </w:p>
        </w:tc>
        <w:tc>
          <w:tcPr>
            <w:tcW w:w="1635" w:type="dxa"/>
            <w:vAlign w:val="center"/>
          </w:tcPr>
          <w:p w:rsidR="007D4BA9" w:rsidRDefault="007D4BA9">
            <w:pPr>
              <w:pStyle w:val="ConsPlusNormal"/>
              <w:jc w:val="center"/>
            </w:pPr>
            <w:r>
              <w:t>4</w:t>
            </w:r>
          </w:p>
        </w:tc>
        <w:tc>
          <w:tcPr>
            <w:tcW w:w="1359" w:type="dxa"/>
            <w:vAlign w:val="center"/>
          </w:tcPr>
          <w:p w:rsidR="007D4BA9" w:rsidRDefault="007D4BA9">
            <w:pPr>
              <w:pStyle w:val="ConsPlusNormal"/>
              <w:jc w:val="center"/>
            </w:pPr>
            <w:r>
              <w:t>980/1500</w:t>
            </w:r>
          </w:p>
        </w:tc>
        <w:tc>
          <w:tcPr>
            <w:tcW w:w="1506" w:type="dxa"/>
            <w:vAlign w:val="center"/>
          </w:tcPr>
          <w:p w:rsidR="007D4BA9" w:rsidRDefault="007D4BA9">
            <w:pPr>
              <w:pStyle w:val="ConsPlusNormal"/>
              <w:jc w:val="center"/>
            </w:pPr>
            <w:r>
              <w:t>40</w:t>
            </w:r>
          </w:p>
        </w:tc>
      </w:tr>
      <w:tr w:rsidR="007D4BA9">
        <w:tc>
          <w:tcPr>
            <w:tcW w:w="1984" w:type="dxa"/>
            <w:vMerge/>
          </w:tcPr>
          <w:p w:rsidR="007D4BA9" w:rsidRDefault="007D4BA9">
            <w:pPr>
              <w:pStyle w:val="ConsPlusNormal"/>
            </w:pPr>
          </w:p>
        </w:tc>
        <w:tc>
          <w:tcPr>
            <w:tcW w:w="1225" w:type="dxa"/>
            <w:vAlign w:val="center"/>
          </w:tcPr>
          <w:p w:rsidR="007D4BA9" w:rsidRDefault="007D4BA9">
            <w:pPr>
              <w:pStyle w:val="ConsPlusNormal"/>
              <w:jc w:val="center"/>
            </w:pPr>
            <w:r>
              <w:t>-</w:t>
            </w:r>
          </w:p>
        </w:tc>
        <w:tc>
          <w:tcPr>
            <w:tcW w:w="1359" w:type="dxa"/>
            <w:vAlign w:val="center"/>
          </w:tcPr>
          <w:p w:rsidR="007D4BA9" w:rsidRDefault="007D4BA9">
            <w:pPr>
              <w:pStyle w:val="ConsPlusNormal"/>
              <w:jc w:val="center"/>
            </w:pPr>
            <w:r>
              <w:t>100</w:t>
            </w:r>
          </w:p>
        </w:tc>
        <w:tc>
          <w:tcPr>
            <w:tcW w:w="1225" w:type="dxa"/>
            <w:vAlign w:val="center"/>
          </w:tcPr>
          <w:p w:rsidR="007D4BA9" w:rsidRDefault="007D4BA9">
            <w:pPr>
              <w:pStyle w:val="ConsPlusNormal"/>
              <w:jc w:val="center"/>
            </w:pPr>
            <w:r>
              <w:t>3,75</w:t>
            </w:r>
          </w:p>
        </w:tc>
        <w:tc>
          <w:tcPr>
            <w:tcW w:w="1635" w:type="dxa"/>
            <w:vAlign w:val="center"/>
          </w:tcPr>
          <w:p w:rsidR="007D4BA9" w:rsidRDefault="007D4BA9">
            <w:pPr>
              <w:pStyle w:val="ConsPlusNormal"/>
              <w:jc w:val="center"/>
            </w:pPr>
            <w:r>
              <w:t>4</w:t>
            </w:r>
          </w:p>
        </w:tc>
        <w:tc>
          <w:tcPr>
            <w:tcW w:w="1359" w:type="dxa"/>
            <w:vAlign w:val="center"/>
          </w:tcPr>
          <w:p w:rsidR="007D4BA9" w:rsidRDefault="007D4BA9">
            <w:pPr>
              <w:pStyle w:val="ConsPlusNormal"/>
              <w:jc w:val="center"/>
            </w:pPr>
            <w:r>
              <w:t>600/840</w:t>
            </w:r>
          </w:p>
        </w:tc>
        <w:tc>
          <w:tcPr>
            <w:tcW w:w="1506" w:type="dxa"/>
            <w:vAlign w:val="center"/>
          </w:tcPr>
          <w:p w:rsidR="007D4BA9" w:rsidRDefault="007D4BA9">
            <w:pPr>
              <w:pStyle w:val="ConsPlusNormal"/>
              <w:jc w:val="center"/>
            </w:pPr>
            <w:r>
              <w:t>50</w:t>
            </w:r>
          </w:p>
        </w:tc>
      </w:tr>
      <w:tr w:rsidR="007D4BA9">
        <w:tc>
          <w:tcPr>
            <w:tcW w:w="1984" w:type="dxa"/>
            <w:vAlign w:val="center"/>
          </w:tcPr>
          <w:p w:rsidR="007D4BA9" w:rsidRDefault="007D4BA9">
            <w:pPr>
              <w:pStyle w:val="ConsPlusNormal"/>
            </w:pPr>
            <w:r>
              <w:t>Местные дороги на незастроенных территориях (IV категории)</w:t>
            </w:r>
          </w:p>
        </w:tc>
        <w:tc>
          <w:tcPr>
            <w:tcW w:w="1225" w:type="dxa"/>
            <w:vAlign w:val="center"/>
          </w:tcPr>
          <w:p w:rsidR="007D4BA9" w:rsidRDefault="007D4BA9">
            <w:pPr>
              <w:pStyle w:val="ConsPlusNormal"/>
              <w:jc w:val="center"/>
            </w:pPr>
            <w:r>
              <w:t>-</w:t>
            </w:r>
          </w:p>
        </w:tc>
        <w:tc>
          <w:tcPr>
            <w:tcW w:w="1359" w:type="dxa"/>
            <w:vAlign w:val="center"/>
          </w:tcPr>
          <w:p w:rsidR="007D4BA9" w:rsidRDefault="007D4BA9">
            <w:pPr>
              <w:pStyle w:val="ConsPlusNormal"/>
              <w:jc w:val="center"/>
            </w:pPr>
            <w:r>
              <w:t>50</w:t>
            </w:r>
          </w:p>
        </w:tc>
        <w:tc>
          <w:tcPr>
            <w:tcW w:w="1225" w:type="dxa"/>
            <w:vAlign w:val="center"/>
          </w:tcPr>
          <w:p w:rsidR="007D4BA9" w:rsidRDefault="007D4BA9">
            <w:pPr>
              <w:pStyle w:val="ConsPlusNormal"/>
              <w:jc w:val="center"/>
            </w:pPr>
            <w:r>
              <w:t>3,0</w:t>
            </w:r>
          </w:p>
          <w:p w:rsidR="007D4BA9" w:rsidRDefault="007D4BA9">
            <w:pPr>
              <w:pStyle w:val="ConsPlusNormal"/>
              <w:jc w:val="center"/>
            </w:pPr>
            <w:r>
              <w:t>3,25</w:t>
            </w:r>
          </w:p>
        </w:tc>
        <w:tc>
          <w:tcPr>
            <w:tcW w:w="1635" w:type="dxa"/>
            <w:vAlign w:val="center"/>
          </w:tcPr>
          <w:p w:rsidR="007D4BA9" w:rsidRDefault="007D4BA9">
            <w:pPr>
              <w:pStyle w:val="ConsPlusNormal"/>
              <w:jc w:val="center"/>
            </w:pPr>
            <w:r>
              <w:t>2</w:t>
            </w:r>
          </w:p>
        </w:tc>
        <w:tc>
          <w:tcPr>
            <w:tcW w:w="1359" w:type="dxa"/>
            <w:vAlign w:val="center"/>
          </w:tcPr>
          <w:p w:rsidR="007D4BA9" w:rsidRDefault="007D4BA9">
            <w:pPr>
              <w:pStyle w:val="ConsPlusNormal"/>
              <w:jc w:val="center"/>
            </w:pPr>
            <w:r>
              <w:t>110/140</w:t>
            </w:r>
          </w:p>
        </w:tc>
        <w:tc>
          <w:tcPr>
            <w:tcW w:w="1506" w:type="dxa"/>
            <w:vAlign w:val="center"/>
          </w:tcPr>
          <w:p w:rsidR="007D4BA9" w:rsidRDefault="007D4BA9">
            <w:pPr>
              <w:pStyle w:val="ConsPlusNormal"/>
              <w:jc w:val="center"/>
            </w:pPr>
            <w:r>
              <w:t>80</w:t>
            </w:r>
          </w:p>
        </w:tc>
      </w:tr>
      <w:tr w:rsidR="007D4BA9">
        <w:tc>
          <w:tcPr>
            <w:tcW w:w="10293" w:type="dxa"/>
            <w:gridSpan w:val="7"/>
            <w:vAlign w:val="center"/>
          </w:tcPr>
          <w:p w:rsidR="007D4BA9" w:rsidRDefault="007D4BA9">
            <w:pPr>
              <w:pStyle w:val="ConsPlusNormal"/>
              <w:outlineLvl w:val="3"/>
            </w:pPr>
            <w:r>
              <w:t>Магистральные городские улицы и дороги</w:t>
            </w:r>
          </w:p>
        </w:tc>
      </w:tr>
      <w:tr w:rsidR="007D4BA9">
        <w:tc>
          <w:tcPr>
            <w:tcW w:w="1984" w:type="dxa"/>
            <w:vAlign w:val="center"/>
          </w:tcPr>
          <w:p w:rsidR="007D4BA9" w:rsidRDefault="007D4BA9">
            <w:pPr>
              <w:pStyle w:val="ConsPlusNormal"/>
            </w:pPr>
            <w:r>
              <w:t>Улицы и дороги общегородского значения 1-го класса</w:t>
            </w:r>
          </w:p>
        </w:tc>
        <w:tc>
          <w:tcPr>
            <w:tcW w:w="1225" w:type="dxa"/>
            <w:vAlign w:val="center"/>
          </w:tcPr>
          <w:p w:rsidR="007D4BA9" w:rsidRDefault="007D4BA9">
            <w:pPr>
              <w:pStyle w:val="ConsPlusNormal"/>
              <w:jc w:val="center"/>
            </w:pPr>
            <w:r>
              <w:t>65 - 100</w:t>
            </w:r>
          </w:p>
        </w:tc>
        <w:tc>
          <w:tcPr>
            <w:tcW w:w="1359" w:type="dxa"/>
            <w:vAlign w:val="center"/>
          </w:tcPr>
          <w:p w:rsidR="007D4BA9" w:rsidRDefault="007D4BA9">
            <w:pPr>
              <w:pStyle w:val="ConsPlusNormal"/>
              <w:jc w:val="center"/>
            </w:pPr>
            <w:r>
              <w:t>80</w:t>
            </w:r>
          </w:p>
        </w:tc>
        <w:tc>
          <w:tcPr>
            <w:tcW w:w="1225" w:type="dxa"/>
            <w:vAlign w:val="center"/>
          </w:tcPr>
          <w:p w:rsidR="007D4BA9" w:rsidRDefault="007D4BA9">
            <w:pPr>
              <w:pStyle w:val="ConsPlusNormal"/>
              <w:jc w:val="center"/>
            </w:pPr>
            <w:r>
              <w:t>3,5 - 3,75</w:t>
            </w:r>
          </w:p>
        </w:tc>
        <w:tc>
          <w:tcPr>
            <w:tcW w:w="1635" w:type="dxa"/>
            <w:vAlign w:val="center"/>
          </w:tcPr>
          <w:p w:rsidR="007D4BA9" w:rsidRDefault="007D4BA9">
            <w:pPr>
              <w:pStyle w:val="ConsPlusNormal"/>
              <w:jc w:val="center"/>
            </w:pPr>
            <w:r>
              <w:t>4 - 10</w:t>
            </w:r>
          </w:p>
        </w:tc>
        <w:tc>
          <w:tcPr>
            <w:tcW w:w="1359" w:type="dxa"/>
            <w:vAlign w:val="center"/>
          </w:tcPr>
          <w:p w:rsidR="007D4BA9" w:rsidRDefault="007D4BA9">
            <w:pPr>
              <w:pStyle w:val="ConsPlusNormal"/>
              <w:jc w:val="center"/>
            </w:pPr>
            <w:r>
              <w:t>310/420</w:t>
            </w:r>
          </w:p>
        </w:tc>
        <w:tc>
          <w:tcPr>
            <w:tcW w:w="1506" w:type="dxa"/>
            <w:vAlign w:val="center"/>
          </w:tcPr>
          <w:p w:rsidR="007D4BA9" w:rsidRDefault="007D4BA9">
            <w:pPr>
              <w:pStyle w:val="ConsPlusNormal"/>
              <w:jc w:val="center"/>
            </w:pPr>
            <w:r>
              <w:t>60</w:t>
            </w:r>
          </w:p>
        </w:tc>
      </w:tr>
      <w:tr w:rsidR="007D4BA9">
        <w:tc>
          <w:tcPr>
            <w:tcW w:w="1984" w:type="dxa"/>
            <w:vAlign w:val="center"/>
          </w:tcPr>
          <w:p w:rsidR="007D4BA9" w:rsidRDefault="007D4BA9">
            <w:pPr>
              <w:pStyle w:val="ConsPlusNormal"/>
            </w:pPr>
            <w:r>
              <w:t>Улицы и дороги общегородского значения 2-го класса</w:t>
            </w:r>
          </w:p>
        </w:tc>
        <w:tc>
          <w:tcPr>
            <w:tcW w:w="1225" w:type="dxa"/>
            <w:vAlign w:val="center"/>
          </w:tcPr>
          <w:p w:rsidR="007D4BA9" w:rsidRDefault="007D4BA9">
            <w:pPr>
              <w:pStyle w:val="ConsPlusNormal"/>
              <w:jc w:val="center"/>
            </w:pPr>
            <w:r>
              <w:t>40 - 90</w:t>
            </w:r>
          </w:p>
        </w:tc>
        <w:tc>
          <w:tcPr>
            <w:tcW w:w="1359" w:type="dxa"/>
            <w:vAlign w:val="center"/>
          </w:tcPr>
          <w:p w:rsidR="007D4BA9" w:rsidRDefault="007D4BA9">
            <w:pPr>
              <w:pStyle w:val="ConsPlusNormal"/>
              <w:jc w:val="center"/>
            </w:pPr>
            <w:r>
              <w:t>70</w:t>
            </w:r>
          </w:p>
        </w:tc>
        <w:tc>
          <w:tcPr>
            <w:tcW w:w="1225" w:type="dxa"/>
            <w:vAlign w:val="center"/>
          </w:tcPr>
          <w:p w:rsidR="007D4BA9" w:rsidRDefault="007D4BA9">
            <w:pPr>
              <w:pStyle w:val="ConsPlusNormal"/>
              <w:jc w:val="center"/>
            </w:pPr>
            <w:r>
              <w:t>3,5 - 3,75</w:t>
            </w:r>
          </w:p>
        </w:tc>
        <w:tc>
          <w:tcPr>
            <w:tcW w:w="1635" w:type="dxa"/>
            <w:vAlign w:val="center"/>
          </w:tcPr>
          <w:p w:rsidR="007D4BA9" w:rsidRDefault="007D4BA9">
            <w:pPr>
              <w:pStyle w:val="ConsPlusNormal"/>
              <w:jc w:val="center"/>
            </w:pPr>
            <w:r>
              <w:t>4 - 8</w:t>
            </w:r>
          </w:p>
        </w:tc>
        <w:tc>
          <w:tcPr>
            <w:tcW w:w="1359" w:type="dxa"/>
            <w:vAlign w:val="center"/>
          </w:tcPr>
          <w:p w:rsidR="007D4BA9" w:rsidRDefault="007D4BA9">
            <w:pPr>
              <w:pStyle w:val="ConsPlusNormal"/>
              <w:jc w:val="center"/>
            </w:pPr>
            <w:r>
              <w:t>230/310</w:t>
            </w:r>
          </w:p>
        </w:tc>
        <w:tc>
          <w:tcPr>
            <w:tcW w:w="1506" w:type="dxa"/>
            <w:vAlign w:val="center"/>
          </w:tcPr>
          <w:p w:rsidR="007D4BA9" w:rsidRDefault="007D4BA9">
            <w:pPr>
              <w:pStyle w:val="ConsPlusNormal"/>
              <w:jc w:val="center"/>
            </w:pPr>
            <w:r>
              <w:t>65</w:t>
            </w:r>
          </w:p>
        </w:tc>
      </w:tr>
      <w:tr w:rsidR="007D4BA9">
        <w:tc>
          <w:tcPr>
            <w:tcW w:w="1984" w:type="dxa"/>
            <w:vAlign w:val="center"/>
          </w:tcPr>
          <w:p w:rsidR="007D4BA9" w:rsidRDefault="007D4BA9">
            <w:pPr>
              <w:pStyle w:val="ConsPlusNormal"/>
            </w:pPr>
            <w:r>
              <w:t>Улицы и дороги общегородского значения 3-го класса</w:t>
            </w:r>
          </w:p>
        </w:tc>
        <w:tc>
          <w:tcPr>
            <w:tcW w:w="1225" w:type="dxa"/>
            <w:vAlign w:val="center"/>
          </w:tcPr>
          <w:p w:rsidR="007D4BA9" w:rsidRDefault="007D4BA9">
            <w:pPr>
              <w:pStyle w:val="ConsPlusNormal"/>
              <w:jc w:val="center"/>
            </w:pPr>
            <w:r>
              <w:t>40 - 80</w:t>
            </w:r>
          </w:p>
        </w:tc>
        <w:tc>
          <w:tcPr>
            <w:tcW w:w="1359" w:type="dxa"/>
            <w:vAlign w:val="center"/>
          </w:tcPr>
          <w:p w:rsidR="007D4BA9" w:rsidRDefault="007D4BA9">
            <w:pPr>
              <w:pStyle w:val="ConsPlusNormal"/>
              <w:jc w:val="center"/>
            </w:pPr>
            <w:r>
              <w:t>60</w:t>
            </w:r>
          </w:p>
        </w:tc>
        <w:tc>
          <w:tcPr>
            <w:tcW w:w="1225" w:type="dxa"/>
            <w:vAlign w:val="center"/>
          </w:tcPr>
          <w:p w:rsidR="007D4BA9" w:rsidRDefault="007D4BA9">
            <w:pPr>
              <w:pStyle w:val="ConsPlusNormal"/>
              <w:jc w:val="center"/>
            </w:pPr>
            <w:r>
              <w:t>3,25 - 3,75</w:t>
            </w:r>
          </w:p>
        </w:tc>
        <w:tc>
          <w:tcPr>
            <w:tcW w:w="1635" w:type="dxa"/>
            <w:vAlign w:val="center"/>
          </w:tcPr>
          <w:p w:rsidR="007D4BA9" w:rsidRDefault="007D4BA9">
            <w:pPr>
              <w:pStyle w:val="ConsPlusNormal"/>
              <w:jc w:val="center"/>
            </w:pPr>
            <w:r>
              <w:t>4 - 6</w:t>
            </w:r>
          </w:p>
        </w:tc>
        <w:tc>
          <w:tcPr>
            <w:tcW w:w="1359" w:type="dxa"/>
            <w:vAlign w:val="center"/>
          </w:tcPr>
          <w:p w:rsidR="007D4BA9" w:rsidRDefault="007D4BA9">
            <w:pPr>
              <w:pStyle w:val="ConsPlusNormal"/>
              <w:jc w:val="center"/>
            </w:pPr>
            <w:r>
              <w:t>170/220</w:t>
            </w:r>
          </w:p>
        </w:tc>
        <w:tc>
          <w:tcPr>
            <w:tcW w:w="1506" w:type="dxa"/>
            <w:vAlign w:val="center"/>
          </w:tcPr>
          <w:p w:rsidR="007D4BA9" w:rsidRDefault="007D4BA9">
            <w:pPr>
              <w:pStyle w:val="ConsPlusNormal"/>
              <w:jc w:val="center"/>
            </w:pPr>
            <w:r>
              <w:t>70</w:t>
            </w:r>
          </w:p>
        </w:tc>
      </w:tr>
      <w:tr w:rsidR="007D4BA9">
        <w:tc>
          <w:tcPr>
            <w:tcW w:w="10293" w:type="dxa"/>
            <w:gridSpan w:val="7"/>
            <w:vAlign w:val="center"/>
          </w:tcPr>
          <w:p w:rsidR="007D4BA9" w:rsidRDefault="007D4BA9">
            <w:pPr>
              <w:pStyle w:val="ConsPlusNormal"/>
              <w:outlineLvl w:val="3"/>
            </w:pPr>
            <w:r>
              <w:t>Магистральные улицы районного значения</w:t>
            </w:r>
          </w:p>
        </w:tc>
      </w:tr>
      <w:tr w:rsidR="007D4BA9">
        <w:tc>
          <w:tcPr>
            <w:tcW w:w="1984" w:type="dxa"/>
            <w:vAlign w:val="center"/>
          </w:tcPr>
          <w:p w:rsidR="007D4BA9" w:rsidRDefault="007D4BA9">
            <w:pPr>
              <w:pStyle w:val="ConsPlusNormal"/>
            </w:pPr>
            <w:r>
              <w:lastRenderedPageBreak/>
              <w:t>Улицы районного значения</w:t>
            </w:r>
          </w:p>
        </w:tc>
        <w:tc>
          <w:tcPr>
            <w:tcW w:w="1225" w:type="dxa"/>
            <w:vAlign w:val="center"/>
          </w:tcPr>
          <w:p w:rsidR="007D4BA9" w:rsidRDefault="007D4BA9">
            <w:pPr>
              <w:pStyle w:val="ConsPlusNormal"/>
              <w:jc w:val="center"/>
            </w:pPr>
            <w:r>
              <w:t>35 - 45</w:t>
            </w:r>
          </w:p>
        </w:tc>
        <w:tc>
          <w:tcPr>
            <w:tcW w:w="1359" w:type="dxa"/>
            <w:vAlign w:val="center"/>
          </w:tcPr>
          <w:p w:rsidR="007D4BA9" w:rsidRDefault="007D4BA9">
            <w:pPr>
              <w:pStyle w:val="ConsPlusNormal"/>
              <w:jc w:val="center"/>
            </w:pPr>
            <w:r>
              <w:t>60</w:t>
            </w:r>
          </w:p>
        </w:tc>
        <w:tc>
          <w:tcPr>
            <w:tcW w:w="1225" w:type="dxa"/>
            <w:vAlign w:val="center"/>
          </w:tcPr>
          <w:p w:rsidR="007D4BA9" w:rsidRDefault="007D4BA9">
            <w:pPr>
              <w:pStyle w:val="ConsPlusNormal"/>
              <w:jc w:val="center"/>
            </w:pPr>
            <w:r>
              <w:t>3,25 - 3,75</w:t>
            </w:r>
          </w:p>
        </w:tc>
        <w:tc>
          <w:tcPr>
            <w:tcW w:w="1635" w:type="dxa"/>
            <w:vAlign w:val="center"/>
          </w:tcPr>
          <w:p w:rsidR="007D4BA9" w:rsidRDefault="007D4BA9">
            <w:pPr>
              <w:pStyle w:val="ConsPlusNormal"/>
              <w:jc w:val="center"/>
            </w:pPr>
            <w:r>
              <w:t>2 - 4</w:t>
            </w:r>
          </w:p>
        </w:tc>
        <w:tc>
          <w:tcPr>
            <w:tcW w:w="1359" w:type="dxa"/>
            <w:vAlign w:val="center"/>
          </w:tcPr>
          <w:p w:rsidR="007D4BA9" w:rsidRDefault="007D4BA9">
            <w:pPr>
              <w:pStyle w:val="ConsPlusNormal"/>
              <w:jc w:val="center"/>
            </w:pPr>
            <w:r>
              <w:t>170/220</w:t>
            </w:r>
          </w:p>
        </w:tc>
        <w:tc>
          <w:tcPr>
            <w:tcW w:w="1506" w:type="dxa"/>
            <w:vAlign w:val="center"/>
          </w:tcPr>
          <w:p w:rsidR="007D4BA9" w:rsidRDefault="007D4BA9">
            <w:pPr>
              <w:pStyle w:val="ConsPlusNormal"/>
              <w:jc w:val="center"/>
            </w:pPr>
            <w:r>
              <w:t>70</w:t>
            </w:r>
          </w:p>
        </w:tc>
      </w:tr>
      <w:tr w:rsidR="007D4BA9">
        <w:tc>
          <w:tcPr>
            <w:tcW w:w="10293" w:type="dxa"/>
            <w:gridSpan w:val="7"/>
            <w:vAlign w:val="center"/>
          </w:tcPr>
          <w:p w:rsidR="007D4BA9" w:rsidRDefault="007D4BA9">
            <w:pPr>
              <w:pStyle w:val="ConsPlusNormal"/>
              <w:outlineLvl w:val="3"/>
            </w:pPr>
            <w:r>
              <w:t>Улицы местного значения</w:t>
            </w:r>
          </w:p>
        </w:tc>
      </w:tr>
      <w:tr w:rsidR="007D4BA9">
        <w:tc>
          <w:tcPr>
            <w:tcW w:w="1984" w:type="dxa"/>
            <w:vAlign w:val="center"/>
          </w:tcPr>
          <w:p w:rsidR="007D4BA9" w:rsidRDefault="007D4BA9">
            <w:pPr>
              <w:pStyle w:val="ConsPlusNormal"/>
            </w:pPr>
            <w:r>
              <w:t>В зонах многоквартирной жилой и общественной застройки</w:t>
            </w:r>
          </w:p>
        </w:tc>
        <w:tc>
          <w:tcPr>
            <w:tcW w:w="1225" w:type="dxa"/>
            <w:vAlign w:val="center"/>
          </w:tcPr>
          <w:p w:rsidR="007D4BA9" w:rsidRDefault="007D4BA9">
            <w:pPr>
              <w:pStyle w:val="ConsPlusNormal"/>
              <w:jc w:val="center"/>
            </w:pPr>
            <w:r>
              <w:t>30</w:t>
            </w:r>
          </w:p>
        </w:tc>
        <w:tc>
          <w:tcPr>
            <w:tcW w:w="1359" w:type="dxa"/>
            <w:vAlign w:val="center"/>
          </w:tcPr>
          <w:p w:rsidR="007D4BA9" w:rsidRDefault="007D4BA9">
            <w:pPr>
              <w:pStyle w:val="ConsPlusNormal"/>
              <w:jc w:val="center"/>
            </w:pPr>
            <w:r>
              <w:t>40</w:t>
            </w:r>
          </w:p>
        </w:tc>
        <w:tc>
          <w:tcPr>
            <w:tcW w:w="1225" w:type="dxa"/>
            <w:vAlign w:val="center"/>
          </w:tcPr>
          <w:p w:rsidR="007D4BA9" w:rsidRDefault="007D4BA9">
            <w:pPr>
              <w:pStyle w:val="ConsPlusNormal"/>
              <w:jc w:val="center"/>
            </w:pPr>
            <w:r>
              <w:t>3,0 - 3,5</w:t>
            </w:r>
          </w:p>
        </w:tc>
        <w:tc>
          <w:tcPr>
            <w:tcW w:w="1635" w:type="dxa"/>
            <w:vAlign w:val="center"/>
          </w:tcPr>
          <w:p w:rsidR="007D4BA9" w:rsidRDefault="007D4BA9">
            <w:pPr>
              <w:pStyle w:val="ConsPlusNormal"/>
              <w:jc w:val="center"/>
            </w:pPr>
            <w:r>
              <w:t>2 - 4</w:t>
            </w:r>
          </w:p>
        </w:tc>
        <w:tc>
          <w:tcPr>
            <w:tcW w:w="1359" w:type="dxa"/>
            <w:vAlign w:val="center"/>
          </w:tcPr>
          <w:p w:rsidR="007D4BA9" w:rsidRDefault="007D4BA9">
            <w:pPr>
              <w:pStyle w:val="ConsPlusNormal"/>
              <w:jc w:val="center"/>
            </w:pPr>
            <w:r>
              <w:t>70/80</w:t>
            </w:r>
          </w:p>
        </w:tc>
        <w:tc>
          <w:tcPr>
            <w:tcW w:w="1506" w:type="dxa"/>
            <w:vAlign w:val="center"/>
          </w:tcPr>
          <w:p w:rsidR="007D4BA9" w:rsidRDefault="007D4BA9">
            <w:pPr>
              <w:pStyle w:val="ConsPlusNormal"/>
              <w:jc w:val="center"/>
            </w:pPr>
            <w:r>
              <w:t>80</w:t>
            </w:r>
          </w:p>
        </w:tc>
      </w:tr>
      <w:tr w:rsidR="007D4BA9">
        <w:tc>
          <w:tcPr>
            <w:tcW w:w="1984" w:type="dxa"/>
            <w:vAlign w:val="center"/>
          </w:tcPr>
          <w:p w:rsidR="007D4BA9" w:rsidRDefault="007D4BA9">
            <w:pPr>
              <w:pStyle w:val="ConsPlusNormal"/>
            </w:pPr>
            <w:r>
              <w:t>В зонах производственного назначения</w:t>
            </w:r>
          </w:p>
        </w:tc>
        <w:tc>
          <w:tcPr>
            <w:tcW w:w="1225" w:type="dxa"/>
            <w:vAlign w:val="center"/>
          </w:tcPr>
          <w:p w:rsidR="007D4BA9" w:rsidRDefault="007D4BA9">
            <w:pPr>
              <w:pStyle w:val="ConsPlusNormal"/>
              <w:jc w:val="center"/>
            </w:pPr>
            <w:r>
              <w:t>20 - 30</w:t>
            </w:r>
          </w:p>
        </w:tc>
        <w:tc>
          <w:tcPr>
            <w:tcW w:w="1359" w:type="dxa"/>
            <w:vAlign w:val="center"/>
          </w:tcPr>
          <w:p w:rsidR="007D4BA9" w:rsidRDefault="007D4BA9">
            <w:pPr>
              <w:pStyle w:val="ConsPlusNormal"/>
              <w:jc w:val="center"/>
            </w:pPr>
            <w:r>
              <w:t>50</w:t>
            </w:r>
          </w:p>
        </w:tc>
        <w:tc>
          <w:tcPr>
            <w:tcW w:w="1225" w:type="dxa"/>
            <w:vAlign w:val="center"/>
          </w:tcPr>
          <w:p w:rsidR="007D4BA9" w:rsidRDefault="007D4BA9">
            <w:pPr>
              <w:pStyle w:val="ConsPlusNormal"/>
              <w:jc w:val="center"/>
            </w:pPr>
            <w:r>
              <w:t>3,75 - 4,0</w:t>
            </w:r>
          </w:p>
        </w:tc>
        <w:tc>
          <w:tcPr>
            <w:tcW w:w="1635" w:type="dxa"/>
            <w:vAlign w:val="center"/>
          </w:tcPr>
          <w:p w:rsidR="007D4BA9" w:rsidRDefault="007D4BA9">
            <w:pPr>
              <w:pStyle w:val="ConsPlusNormal"/>
              <w:jc w:val="center"/>
            </w:pPr>
            <w:r>
              <w:t>2 - 4</w:t>
            </w:r>
          </w:p>
        </w:tc>
        <w:tc>
          <w:tcPr>
            <w:tcW w:w="1359" w:type="dxa"/>
            <w:vAlign w:val="center"/>
          </w:tcPr>
          <w:p w:rsidR="007D4BA9" w:rsidRDefault="007D4BA9">
            <w:pPr>
              <w:pStyle w:val="ConsPlusNormal"/>
              <w:jc w:val="center"/>
            </w:pPr>
            <w:r>
              <w:t>110/140</w:t>
            </w:r>
          </w:p>
        </w:tc>
        <w:tc>
          <w:tcPr>
            <w:tcW w:w="1506" w:type="dxa"/>
            <w:vAlign w:val="center"/>
          </w:tcPr>
          <w:p w:rsidR="007D4BA9" w:rsidRDefault="007D4BA9">
            <w:pPr>
              <w:pStyle w:val="ConsPlusNormal"/>
              <w:jc w:val="center"/>
            </w:pPr>
            <w:r>
              <w:t>80</w:t>
            </w:r>
          </w:p>
        </w:tc>
      </w:tr>
      <w:tr w:rsidR="007D4BA9">
        <w:tc>
          <w:tcPr>
            <w:tcW w:w="1984" w:type="dxa"/>
            <w:vAlign w:val="center"/>
          </w:tcPr>
          <w:p w:rsidR="007D4BA9" w:rsidRDefault="007D4BA9">
            <w:pPr>
              <w:pStyle w:val="ConsPlusNormal"/>
            </w:pPr>
            <w:r>
              <w:t>В зонах ИЖС</w:t>
            </w:r>
          </w:p>
        </w:tc>
        <w:tc>
          <w:tcPr>
            <w:tcW w:w="1225" w:type="dxa"/>
            <w:vAlign w:val="center"/>
          </w:tcPr>
          <w:p w:rsidR="007D4BA9" w:rsidRDefault="007D4BA9">
            <w:pPr>
              <w:pStyle w:val="ConsPlusNormal"/>
              <w:jc w:val="center"/>
            </w:pPr>
            <w:r>
              <w:t>15 - 25</w:t>
            </w:r>
          </w:p>
        </w:tc>
        <w:tc>
          <w:tcPr>
            <w:tcW w:w="1359" w:type="dxa"/>
            <w:vAlign w:val="center"/>
          </w:tcPr>
          <w:p w:rsidR="007D4BA9" w:rsidRDefault="007D4BA9">
            <w:pPr>
              <w:pStyle w:val="ConsPlusNormal"/>
              <w:jc w:val="center"/>
            </w:pPr>
            <w:r>
              <w:t>40</w:t>
            </w:r>
          </w:p>
        </w:tc>
        <w:tc>
          <w:tcPr>
            <w:tcW w:w="1225" w:type="dxa"/>
            <w:vAlign w:val="center"/>
          </w:tcPr>
          <w:p w:rsidR="007D4BA9" w:rsidRDefault="007D4BA9">
            <w:pPr>
              <w:pStyle w:val="ConsPlusNormal"/>
              <w:jc w:val="center"/>
            </w:pPr>
            <w:r>
              <w:t>3,0</w:t>
            </w:r>
          </w:p>
        </w:tc>
        <w:tc>
          <w:tcPr>
            <w:tcW w:w="1635" w:type="dxa"/>
            <w:vAlign w:val="center"/>
          </w:tcPr>
          <w:p w:rsidR="007D4BA9" w:rsidRDefault="007D4BA9">
            <w:pPr>
              <w:pStyle w:val="ConsPlusNormal"/>
              <w:jc w:val="center"/>
            </w:pPr>
            <w:r>
              <w:t>2</w:t>
            </w:r>
          </w:p>
        </w:tc>
        <w:tc>
          <w:tcPr>
            <w:tcW w:w="1359" w:type="dxa"/>
            <w:vAlign w:val="center"/>
          </w:tcPr>
          <w:p w:rsidR="007D4BA9" w:rsidRDefault="007D4BA9">
            <w:pPr>
              <w:pStyle w:val="ConsPlusNormal"/>
              <w:jc w:val="center"/>
            </w:pPr>
            <w:r>
              <w:t>40/40</w:t>
            </w:r>
          </w:p>
        </w:tc>
        <w:tc>
          <w:tcPr>
            <w:tcW w:w="1506" w:type="dxa"/>
            <w:vAlign w:val="center"/>
          </w:tcPr>
          <w:p w:rsidR="007D4BA9" w:rsidRDefault="007D4BA9">
            <w:pPr>
              <w:pStyle w:val="ConsPlusNormal"/>
              <w:jc w:val="center"/>
            </w:pPr>
            <w:r>
              <w:t>80</w:t>
            </w:r>
          </w:p>
        </w:tc>
      </w:tr>
    </w:tbl>
    <w:p w:rsidR="007D4BA9" w:rsidRDefault="007D4BA9">
      <w:pPr>
        <w:pStyle w:val="ConsPlusNormal"/>
        <w:sectPr w:rsidR="007D4BA9">
          <w:pgSz w:w="16838" w:h="11905" w:orient="landscape"/>
          <w:pgMar w:top="1701" w:right="1134" w:bottom="850" w:left="1134" w:header="0" w:footer="0" w:gutter="0"/>
          <w:cols w:space="720"/>
          <w:titlePg/>
        </w:sectPr>
      </w:pPr>
    </w:p>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26" w:name="P1547"/>
      <w:bookmarkEnd w:id="26"/>
      <w:r>
        <w:t xml:space="preserve">&lt;*&gt; Расчетные показатели принимаются в соответствии с </w:t>
      </w:r>
      <w:hyperlink r:id="rId50">
        <w:r>
          <w:rPr>
            <w:color w:val="0000FF"/>
          </w:rPr>
          <w:t>СП 42.13330.2021</w:t>
        </w:r>
      </w:hyperlink>
      <w:r>
        <w:t xml:space="preserve"> и </w:t>
      </w:r>
      <w:hyperlink r:id="rId51">
        <w:r>
          <w:rPr>
            <w:color w:val="0000FF"/>
          </w:rPr>
          <w:t>СП 396.1325800.2018</w:t>
        </w:r>
      </w:hyperlink>
      <w:r>
        <w:t>.</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1. В условиях сложного рельефа, а также в условиях существующей застройки и в зонах с высокой исторической и градостроительной ценностью разрешается снижать расчетную скорость движения на 10 км/ч с уменьшением радиуса кривых в плане и увеличением продольных уклонов.</w:t>
      </w:r>
    </w:p>
    <w:p w:rsidR="007D4BA9" w:rsidRDefault="007D4BA9">
      <w:pPr>
        <w:pStyle w:val="ConsPlusNormal"/>
        <w:spacing w:before="220"/>
        <w:ind w:firstLine="540"/>
        <w:jc w:val="both"/>
      </w:pPr>
      <w:r>
        <w:t>2. На магистральных улицах и дорогах при интенсивности движения автобусов 30 ед./ч и более для их движения устраивают обособленную полосу.</w:t>
      </w:r>
    </w:p>
    <w:p w:rsidR="007D4BA9" w:rsidRDefault="007D4BA9">
      <w:pPr>
        <w:pStyle w:val="ConsPlusNormal"/>
        <w:spacing w:before="220"/>
        <w:ind w:firstLine="540"/>
        <w:jc w:val="both"/>
      </w:pPr>
      <w:r>
        <w:t>3. В ширину пешеходной части тротуаров не включаются площади, необходимые для размещения скамеек, киосков, мачт освещения и тому подобное.</w:t>
      </w:r>
    </w:p>
    <w:p w:rsidR="007D4BA9" w:rsidRDefault="007D4BA9">
      <w:pPr>
        <w:pStyle w:val="ConsPlusNormal"/>
        <w:spacing w:before="220"/>
        <w:ind w:firstLine="540"/>
        <w:jc w:val="both"/>
      </w:pPr>
      <w:r>
        <w:t xml:space="preserve">4. В условиях существующей застройки, а также при расчетном пешеходном движении менее 50 чел./ч в обоих направлениях разрешается устройство тротуаров и дорожек шириной 1 м с устройством разъездных площадок для обеспечения встречного движения маломобильных групп населения на креслах-колясках в соответствии с требованиями </w:t>
      </w:r>
      <w:hyperlink r:id="rId52">
        <w:r>
          <w:rPr>
            <w:color w:val="0000FF"/>
          </w:rPr>
          <w:t>СП 35-105-2002</w:t>
        </w:r>
      </w:hyperlink>
      <w:r>
        <w:t>.</w:t>
      </w:r>
    </w:p>
    <w:p w:rsidR="007D4BA9" w:rsidRDefault="007D4BA9">
      <w:pPr>
        <w:pStyle w:val="ConsPlusNormal"/>
        <w:spacing w:before="220"/>
        <w:ind w:firstLine="540"/>
        <w:jc w:val="both"/>
      </w:pPr>
      <w:r>
        <w:t>5. Разрешается предусматривать поэтапное достижение расчетных параметров магистральных улиц и дорог с обязательным резервированием территории для перспективного строительства.</w:t>
      </w:r>
    </w:p>
    <w:p w:rsidR="007D4BA9" w:rsidRDefault="007D4BA9">
      <w:pPr>
        <w:pStyle w:val="ConsPlusNormal"/>
        <w:spacing w:before="220"/>
        <w:ind w:firstLine="540"/>
        <w:jc w:val="both"/>
      </w:pPr>
      <w:r>
        <w:t>6. В случае если расчетное расстояние от края основных проезжих частей магистральной улицы районного значения до линии застройки превышает 25 м, полоса проезжей части предусматривается шириной 6,0 м, но не ближе 5 м от линии застройки для обеспечения проезда пожарных машин.</w:t>
      </w:r>
    </w:p>
    <w:p w:rsidR="007D4BA9" w:rsidRDefault="007D4BA9">
      <w:pPr>
        <w:pStyle w:val="ConsPlusNormal"/>
        <w:spacing w:before="220"/>
        <w:ind w:firstLine="540"/>
        <w:jc w:val="both"/>
      </w:pPr>
      <w:r>
        <w:t>7. Для улиц и дорог 1-го и 2-го классов вдоль планировочных единиц в красных линиях при комплексной застройке территории предусматривается боковой проезд шириной 6 м.</w:t>
      </w:r>
    </w:p>
    <w:p w:rsidR="007D4BA9" w:rsidRDefault="007D4BA9">
      <w:pPr>
        <w:pStyle w:val="ConsPlusNormal"/>
        <w:spacing w:before="220"/>
        <w:ind w:firstLine="540"/>
        <w:jc w:val="both"/>
      </w:pPr>
      <w:r>
        <w:t>8. В условиях сложного рельефа, а также в условиях существующей застройки и в зонах с высокой градостроительной ценностью ширина улиц местного значения может быть принята менее нормативной при обязательном условии соблюдения установленных минимальных параметров поперечного профиля и обеспечения раскладки требуемого набора инженерных коммуникаций, проектируемых в красных линиях улицы.</w:t>
      </w:r>
    </w:p>
    <w:p w:rsidR="007D4BA9" w:rsidRDefault="007D4BA9">
      <w:pPr>
        <w:pStyle w:val="ConsPlusNormal"/>
        <w:jc w:val="both"/>
      </w:pPr>
    </w:p>
    <w:p w:rsidR="007D4BA9" w:rsidRDefault="007D4BA9">
      <w:pPr>
        <w:pStyle w:val="ConsPlusNormal"/>
        <w:ind w:firstLine="540"/>
        <w:jc w:val="both"/>
      </w:pPr>
      <w:r>
        <w:t>164. Пересечения магистральных улиц и дорог в зависимости от их категорий проектируется с учетом следующих классов:</w:t>
      </w:r>
    </w:p>
    <w:p w:rsidR="007D4BA9" w:rsidRDefault="007D4BA9">
      <w:pPr>
        <w:pStyle w:val="ConsPlusNormal"/>
        <w:spacing w:before="220"/>
        <w:ind w:firstLine="540"/>
        <w:jc w:val="both"/>
      </w:pPr>
      <w:r>
        <w:t>1) транспортная развязка 1-го класса - полная многоуровневая развязка с максимальными параметрами; устраивается на пересечениях магистральных дорог межрегионального значения, а также улиц и дорог общегородского значения с непрерывным движением транспорта;</w:t>
      </w:r>
    </w:p>
    <w:p w:rsidR="007D4BA9" w:rsidRDefault="007D4BA9">
      <w:pPr>
        <w:pStyle w:val="ConsPlusNormal"/>
        <w:spacing w:before="220"/>
        <w:ind w:firstLine="540"/>
        <w:jc w:val="both"/>
      </w:pPr>
      <w:r>
        <w:t>2) транспортная развязка 2-го класса - полная развязка основных направлений в разных уровнях с минимальными параметрами, с организацией всех поворотных направлений в узле без светофорного регулирования; устраивается на пересечениях магистральных улиц и дорог общегородского значения между собой;</w:t>
      </w:r>
    </w:p>
    <w:p w:rsidR="007D4BA9" w:rsidRDefault="007D4BA9">
      <w:pPr>
        <w:pStyle w:val="ConsPlusNormal"/>
        <w:spacing w:before="220"/>
        <w:ind w:firstLine="540"/>
        <w:jc w:val="both"/>
      </w:pPr>
      <w:r>
        <w:t xml:space="preserve">3) транспортная развязка 3-го класса - полная развязка с организацией поворотного движения на второстепенном направлении со светофорным регулированием; устраивается на пересечениях магистральных улиц и дорог общегородского значения с улицами и дорогами межрайонного </w:t>
      </w:r>
      <w:r>
        <w:lastRenderedPageBreak/>
        <w:t>значения;</w:t>
      </w:r>
    </w:p>
    <w:p w:rsidR="007D4BA9" w:rsidRDefault="007D4BA9">
      <w:pPr>
        <w:pStyle w:val="ConsPlusNormal"/>
        <w:spacing w:before="220"/>
        <w:ind w:firstLine="540"/>
        <w:jc w:val="both"/>
      </w:pPr>
      <w:r>
        <w:t>4) транспортная развязка 4-го класса - неполная развязка в разных уровнях; устраивается на пересечениях магистральных улиц межрайонного значения между собой, а также на пересечениях магистральных улиц и дорог межрайонного значения с улицами и дорогами районного значения;</w:t>
      </w:r>
    </w:p>
    <w:p w:rsidR="007D4BA9" w:rsidRDefault="007D4BA9">
      <w:pPr>
        <w:pStyle w:val="ConsPlusNormal"/>
        <w:spacing w:before="220"/>
        <w:ind w:firstLine="540"/>
        <w:jc w:val="both"/>
      </w:pPr>
      <w:r>
        <w:t>5) транспортная развязка 5-го класса - пересечение магистральных улиц и дорог со светофорным регулированием; устраивается на пересечении магистральных улиц и дорог районного значения между собой, улиц и дорог районного значения с улицами и дорогами местного значения.</w:t>
      </w:r>
    </w:p>
    <w:p w:rsidR="007D4BA9" w:rsidRDefault="007D4BA9">
      <w:pPr>
        <w:pStyle w:val="ConsPlusNormal"/>
        <w:spacing w:before="220"/>
        <w:ind w:firstLine="540"/>
        <w:jc w:val="both"/>
      </w:pPr>
      <w:r>
        <w:t xml:space="preserve">165. Автомобильные дороги федерального и республиканского значений в пределах города </w:t>
      </w:r>
      <w:r w:rsidR="000B30E9">
        <w:t>Нижнекамск</w:t>
      </w:r>
      <w:r>
        <w:t xml:space="preserve"> проектируют в соответствии с требованиями Федерального </w:t>
      </w:r>
      <w:hyperlink r:id="rId53">
        <w:r>
          <w:rPr>
            <w:color w:val="0000FF"/>
          </w:rPr>
          <w:t>закона</w:t>
        </w:r>
      </w:hyperlink>
      <w:r>
        <w:t xml:space="preserve"> от 8 ноября 2007 года N 257-ФЗ "Об автомобильных дорогах и дорожной деятельности в Российской Федерации и о внесении изменений в отдельные законодательные акты Российской Федерации", Республиканскими </w:t>
      </w:r>
      <w:hyperlink r:id="rId54">
        <w:r>
          <w:rPr>
            <w:color w:val="0000FF"/>
          </w:rPr>
          <w:t>нормативами</w:t>
        </w:r>
      </w:hyperlink>
      <w:r>
        <w:t xml:space="preserve"> градостроительного проектирования Республики Татарстан, утвержденными постановлением Кабинета Министров Республики Татарстан от 27 декабря 2013 года N 1071, а также </w:t>
      </w:r>
      <w:hyperlink r:id="rId55">
        <w:r>
          <w:rPr>
            <w:color w:val="0000FF"/>
          </w:rPr>
          <w:t>СП 34.13330.2021</w:t>
        </w:r>
      </w:hyperlink>
      <w:r>
        <w:t xml:space="preserve"> "Свод правил. Автомобильные дороги. СНиП 2.05.02-85".</w:t>
      </w:r>
    </w:p>
    <w:p w:rsidR="007D4BA9" w:rsidRDefault="007D4BA9">
      <w:pPr>
        <w:pStyle w:val="ConsPlusNormal"/>
        <w:spacing w:before="220"/>
        <w:ind w:firstLine="540"/>
        <w:jc w:val="both"/>
      </w:pPr>
      <w:r>
        <w:t>166. Пересечения в одном уровне подразделяются на регулируемые и нерегулируемые, в том числе кольцевые. Проектирование пересечений следует вести на основе перспективной интенсивности движения, а также с учетом рационального распределения транспортных потоков по УДС.</w:t>
      </w:r>
    </w:p>
    <w:p w:rsidR="007D4BA9" w:rsidRDefault="007D4BA9">
      <w:pPr>
        <w:pStyle w:val="ConsPlusNormal"/>
        <w:spacing w:before="220"/>
        <w:ind w:firstLine="540"/>
        <w:jc w:val="both"/>
      </w:pPr>
      <w:r>
        <w:t>167. При новом строительстве расстояние между пересечениями в одном уровне принимаются:</w:t>
      </w:r>
    </w:p>
    <w:p w:rsidR="007D4BA9" w:rsidRDefault="007D4BA9">
      <w:pPr>
        <w:pStyle w:val="ConsPlusNormal"/>
        <w:spacing w:before="220"/>
        <w:ind w:firstLine="540"/>
        <w:jc w:val="both"/>
      </w:pPr>
      <w:r>
        <w:t>1) для магистральных улиц и дорог регулируемого движения - не менее 400 м;</w:t>
      </w:r>
    </w:p>
    <w:p w:rsidR="007D4BA9" w:rsidRDefault="007D4BA9">
      <w:pPr>
        <w:pStyle w:val="ConsPlusNormal"/>
        <w:spacing w:before="220"/>
        <w:ind w:firstLine="540"/>
        <w:jc w:val="both"/>
      </w:pPr>
      <w:r>
        <w:t>2) для улиц районного значения (распределительных) - не менее 200 м;</w:t>
      </w:r>
    </w:p>
    <w:p w:rsidR="007D4BA9" w:rsidRDefault="007D4BA9">
      <w:pPr>
        <w:pStyle w:val="ConsPlusNormal"/>
        <w:spacing w:before="220"/>
        <w:ind w:firstLine="540"/>
        <w:jc w:val="both"/>
      </w:pPr>
      <w:r>
        <w:t>3) для улиц местного значения - не менее 60 м.</w:t>
      </w:r>
    </w:p>
    <w:p w:rsidR="007D4BA9" w:rsidRDefault="007D4BA9">
      <w:pPr>
        <w:pStyle w:val="ConsPlusNormal"/>
        <w:spacing w:before="220"/>
        <w:ind w:firstLine="540"/>
        <w:jc w:val="both"/>
      </w:pPr>
      <w:r>
        <w:t>168. На магистральных улицах общегородского значения при обратном сопряжении кривых в плане должна быть обеспечена возможность прямой вставки между ними не менее 50 м.</w:t>
      </w:r>
    </w:p>
    <w:p w:rsidR="007D4BA9" w:rsidRDefault="007D4BA9">
      <w:pPr>
        <w:pStyle w:val="ConsPlusNormal"/>
        <w:spacing w:before="220"/>
        <w:ind w:firstLine="540"/>
        <w:jc w:val="both"/>
      </w:pPr>
      <w:r>
        <w:t>169. На съездах и въездах пересечений 1-го класса необходимо предусматривать переходно-скоростные полосы. Длина переходно-скоростных полос разгона и торможения для горизонтальных участков принимается по Таблице 19.</w:t>
      </w:r>
    </w:p>
    <w:p w:rsidR="007D4BA9" w:rsidRDefault="007D4BA9">
      <w:pPr>
        <w:pStyle w:val="ConsPlusNormal"/>
        <w:jc w:val="both"/>
      </w:pPr>
    </w:p>
    <w:p w:rsidR="007D4BA9" w:rsidRDefault="007D4BA9">
      <w:pPr>
        <w:pStyle w:val="ConsPlusNormal"/>
        <w:jc w:val="right"/>
        <w:outlineLvl w:val="3"/>
      </w:pPr>
      <w:r>
        <w:t>Таблица 19</w:t>
      </w:r>
    </w:p>
    <w:p w:rsidR="007D4BA9" w:rsidRDefault="007D4BA9">
      <w:pPr>
        <w:pStyle w:val="ConsPlusNormal"/>
        <w:jc w:val="both"/>
      </w:pPr>
    </w:p>
    <w:p w:rsidR="007D4BA9" w:rsidRDefault="007D4BA9">
      <w:pPr>
        <w:pStyle w:val="ConsPlusTitle"/>
        <w:jc w:val="center"/>
      </w:pPr>
      <w:r>
        <w:t>Длина переходно-скоростных полос разгона</w:t>
      </w:r>
    </w:p>
    <w:p w:rsidR="007D4BA9" w:rsidRDefault="007D4BA9">
      <w:pPr>
        <w:pStyle w:val="ConsPlusTitle"/>
        <w:jc w:val="center"/>
      </w:pPr>
      <w:r>
        <w:t>и торможения для горизонтальных участков</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1701"/>
        <w:gridCol w:w="2268"/>
        <w:gridCol w:w="2438"/>
      </w:tblGrid>
      <w:tr w:rsidR="007D4BA9">
        <w:tc>
          <w:tcPr>
            <w:tcW w:w="4309" w:type="dxa"/>
            <w:gridSpan w:val="2"/>
          </w:tcPr>
          <w:p w:rsidR="007D4BA9" w:rsidRDefault="007D4BA9">
            <w:pPr>
              <w:pStyle w:val="ConsPlusNormal"/>
              <w:jc w:val="center"/>
            </w:pPr>
            <w:r>
              <w:t xml:space="preserve">Расчетная скорость движения, км/ч </w:t>
            </w:r>
            <w:hyperlink w:anchor="P1617">
              <w:r>
                <w:rPr>
                  <w:color w:val="0000FF"/>
                </w:rPr>
                <w:t>&lt;*&gt;</w:t>
              </w:r>
            </w:hyperlink>
          </w:p>
        </w:tc>
        <w:tc>
          <w:tcPr>
            <w:tcW w:w="4706" w:type="dxa"/>
            <w:gridSpan w:val="2"/>
          </w:tcPr>
          <w:p w:rsidR="007D4BA9" w:rsidRDefault="007D4BA9">
            <w:pPr>
              <w:pStyle w:val="ConsPlusNormal"/>
              <w:jc w:val="center"/>
            </w:pPr>
            <w:r>
              <w:t xml:space="preserve">Длина переходно-скоростных полос, м </w:t>
            </w:r>
            <w:hyperlink w:anchor="P1617">
              <w:r>
                <w:rPr>
                  <w:color w:val="0000FF"/>
                </w:rPr>
                <w:t>&lt;*&gt;</w:t>
              </w:r>
            </w:hyperlink>
          </w:p>
        </w:tc>
      </w:tr>
      <w:tr w:rsidR="007D4BA9">
        <w:tc>
          <w:tcPr>
            <w:tcW w:w="2608" w:type="dxa"/>
          </w:tcPr>
          <w:p w:rsidR="007D4BA9" w:rsidRDefault="007D4BA9">
            <w:pPr>
              <w:pStyle w:val="ConsPlusNormal"/>
              <w:jc w:val="center"/>
            </w:pPr>
            <w:r>
              <w:t>на основном направлении</w:t>
            </w:r>
          </w:p>
        </w:tc>
        <w:tc>
          <w:tcPr>
            <w:tcW w:w="1701" w:type="dxa"/>
          </w:tcPr>
          <w:p w:rsidR="007D4BA9" w:rsidRDefault="007D4BA9">
            <w:pPr>
              <w:pStyle w:val="ConsPlusNormal"/>
              <w:jc w:val="center"/>
            </w:pPr>
            <w:r>
              <w:t>на съезде</w:t>
            </w:r>
          </w:p>
        </w:tc>
        <w:tc>
          <w:tcPr>
            <w:tcW w:w="2268" w:type="dxa"/>
          </w:tcPr>
          <w:p w:rsidR="007D4BA9" w:rsidRDefault="007D4BA9">
            <w:pPr>
              <w:pStyle w:val="ConsPlusNormal"/>
              <w:jc w:val="center"/>
            </w:pPr>
            <w:r>
              <w:t>для торможения</w:t>
            </w:r>
          </w:p>
        </w:tc>
        <w:tc>
          <w:tcPr>
            <w:tcW w:w="2438" w:type="dxa"/>
          </w:tcPr>
          <w:p w:rsidR="007D4BA9" w:rsidRDefault="007D4BA9">
            <w:pPr>
              <w:pStyle w:val="ConsPlusNormal"/>
              <w:jc w:val="center"/>
            </w:pPr>
            <w:r>
              <w:t>для разгона</w:t>
            </w:r>
          </w:p>
        </w:tc>
      </w:tr>
      <w:tr w:rsidR="007D4BA9">
        <w:tc>
          <w:tcPr>
            <w:tcW w:w="2608" w:type="dxa"/>
            <w:vMerge w:val="restart"/>
          </w:tcPr>
          <w:p w:rsidR="007D4BA9" w:rsidRDefault="007D4BA9">
            <w:pPr>
              <w:pStyle w:val="ConsPlusNormal"/>
              <w:jc w:val="center"/>
            </w:pPr>
            <w:r>
              <w:t>60</w:t>
            </w:r>
          </w:p>
        </w:tc>
        <w:tc>
          <w:tcPr>
            <w:tcW w:w="1701" w:type="dxa"/>
          </w:tcPr>
          <w:p w:rsidR="007D4BA9" w:rsidRDefault="007D4BA9">
            <w:pPr>
              <w:pStyle w:val="ConsPlusNormal"/>
              <w:jc w:val="center"/>
            </w:pPr>
            <w:r>
              <w:t>20</w:t>
            </w:r>
          </w:p>
        </w:tc>
        <w:tc>
          <w:tcPr>
            <w:tcW w:w="2268" w:type="dxa"/>
          </w:tcPr>
          <w:p w:rsidR="007D4BA9" w:rsidRDefault="007D4BA9">
            <w:pPr>
              <w:pStyle w:val="ConsPlusNormal"/>
              <w:jc w:val="center"/>
            </w:pPr>
            <w:r>
              <w:t>130</w:t>
            </w:r>
          </w:p>
        </w:tc>
        <w:tc>
          <w:tcPr>
            <w:tcW w:w="2438" w:type="dxa"/>
          </w:tcPr>
          <w:p w:rsidR="007D4BA9" w:rsidRDefault="007D4BA9">
            <w:pPr>
              <w:pStyle w:val="ConsPlusNormal"/>
              <w:jc w:val="center"/>
            </w:pPr>
            <w:r>
              <w:t>175</w:t>
            </w:r>
          </w:p>
        </w:tc>
      </w:tr>
      <w:tr w:rsidR="007D4BA9">
        <w:tc>
          <w:tcPr>
            <w:tcW w:w="2608" w:type="dxa"/>
            <w:vMerge/>
          </w:tcPr>
          <w:p w:rsidR="007D4BA9" w:rsidRDefault="007D4BA9">
            <w:pPr>
              <w:pStyle w:val="ConsPlusNormal"/>
            </w:pPr>
          </w:p>
        </w:tc>
        <w:tc>
          <w:tcPr>
            <w:tcW w:w="1701" w:type="dxa"/>
          </w:tcPr>
          <w:p w:rsidR="007D4BA9" w:rsidRDefault="007D4BA9">
            <w:pPr>
              <w:pStyle w:val="ConsPlusNormal"/>
              <w:jc w:val="center"/>
            </w:pPr>
            <w:r>
              <w:t>40</w:t>
            </w:r>
          </w:p>
        </w:tc>
        <w:tc>
          <w:tcPr>
            <w:tcW w:w="2268" w:type="dxa"/>
          </w:tcPr>
          <w:p w:rsidR="007D4BA9" w:rsidRDefault="007D4BA9">
            <w:pPr>
              <w:pStyle w:val="ConsPlusNormal"/>
              <w:jc w:val="center"/>
            </w:pPr>
            <w:r>
              <w:t>110</w:t>
            </w:r>
          </w:p>
        </w:tc>
        <w:tc>
          <w:tcPr>
            <w:tcW w:w="2438" w:type="dxa"/>
          </w:tcPr>
          <w:p w:rsidR="007D4BA9" w:rsidRDefault="007D4BA9">
            <w:pPr>
              <w:pStyle w:val="ConsPlusNormal"/>
              <w:jc w:val="center"/>
            </w:pPr>
            <w:r>
              <w:t>140</w:t>
            </w:r>
          </w:p>
        </w:tc>
      </w:tr>
      <w:tr w:rsidR="007D4BA9">
        <w:tc>
          <w:tcPr>
            <w:tcW w:w="2608" w:type="dxa"/>
            <w:vMerge w:val="restart"/>
          </w:tcPr>
          <w:p w:rsidR="007D4BA9" w:rsidRDefault="007D4BA9">
            <w:pPr>
              <w:pStyle w:val="ConsPlusNormal"/>
              <w:jc w:val="center"/>
            </w:pPr>
            <w:r>
              <w:t>80</w:t>
            </w:r>
          </w:p>
        </w:tc>
        <w:tc>
          <w:tcPr>
            <w:tcW w:w="1701" w:type="dxa"/>
          </w:tcPr>
          <w:p w:rsidR="007D4BA9" w:rsidRDefault="007D4BA9">
            <w:pPr>
              <w:pStyle w:val="ConsPlusNormal"/>
              <w:jc w:val="center"/>
            </w:pPr>
            <w:r>
              <w:t>30</w:t>
            </w:r>
          </w:p>
        </w:tc>
        <w:tc>
          <w:tcPr>
            <w:tcW w:w="2268" w:type="dxa"/>
          </w:tcPr>
          <w:p w:rsidR="007D4BA9" w:rsidRDefault="007D4BA9">
            <w:pPr>
              <w:pStyle w:val="ConsPlusNormal"/>
              <w:jc w:val="center"/>
            </w:pPr>
            <w:r>
              <w:t>175</w:t>
            </w:r>
          </w:p>
        </w:tc>
        <w:tc>
          <w:tcPr>
            <w:tcW w:w="2438" w:type="dxa"/>
          </w:tcPr>
          <w:p w:rsidR="007D4BA9" w:rsidRDefault="007D4BA9">
            <w:pPr>
              <w:pStyle w:val="ConsPlusNormal"/>
              <w:jc w:val="center"/>
            </w:pPr>
            <w:r>
              <w:t>260</w:t>
            </w:r>
          </w:p>
        </w:tc>
      </w:tr>
      <w:tr w:rsidR="007D4BA9">
        <w:tc>
          <w:tcPr>
            <w:tcW w:w="2608" w:type="dxa"/>
            <w:vMerge/>
          </w:tcPr>
          <w:p w:rsidR="007D4BA9" w:rsidRDefault="007D4BA9">
            <w:pPr>
              <w:pStyle w:val="ConsPlusNormal"/>
            </w:pPr>
          </w:p>
        </w:tc>
        <w:tc>
          <w:tcPr>
            <w:tcW w:w="1701" w:type="dxa"/>
          </w:tcPr>
          <w:p w:rsidR="007D4BA9" w:rsidRDefault="007D4BA9">
            <w:pPr>
              <w:pStyle w:val="ConsPlusNormal"/>
              <w:jc w:val="center"/>
            </w:pPr>
            <w:r>
              <w:t>40</w:t>
            </w:r>
          </w:p>
        </w:tc>
        <w:tc>
          <w:tcPr>
            <w:tcW w:w="2268" w:type="dxa"/>
          </w:tcPr>
          <w:p w:rsidR="007D4BA9" w:rsidRDefault="007D4BA9">
            <w:pPr>
              <w:pStyle w:val="ConsPlusNormal"/>
              <w:jc w:val="center"/>
            </w:pPr>
            <w:r>
              <w:t>160</w:t>
            </w:r>
          </w:p>
        </w:tc>
        <w:tc>
          <w:tcPr>
            <w:tcW w:w="2438" w:type="dxa"/>
          </w:tcPr>
          <w:p w:rsidR="007D4BA9" w:rsidRDefault="007D4BA9">
            <w:pPr>
              <w:pStyle w:val="ConsPlusNormal"/>
              <w:jc w:val="center"/>
            </w:pPr>
            <w:r>
              <w:t>230</w:t>
            </w:r>
          </w:p>
        </w:tc>
      </w:tr>
      <w:tr w:rsidR="007D4BA9">
        <w:tc>
          <w:tcPr>
            <w:tcW w:w="2608" w:type="dxa"/>
            <w:vMerge/>
          </w:tcPr>
          <w:p w:rsidR="007D4BA9" w:rsidRDefault="007D4BA9">
            <w:pPr>
              <w:pStyle w:val="ConsPlusNormal"/>
            </w:pPr>
          </w:p>
        </w:tc>
        <w:tc>
          <w:tcPr>
            <w:tcW w:w="1701" w:type="dxa"/>
          </w:tcPr>
          <w:p w:rsidR="007D4BA9" w:rsidRDefault="007D4BA9">
            <w:pPr>
              <w:pStyle w:val="ConsPlusNormal"/>
              <w:jc w:val="center"/>
            </w:pPr>
            <w:r>
              <w:t>50</w:t>
            </w:r>
          </w:p>
        </w:tc>
        <w:tc>
          <w:tcPr>
            <w:tcW w:w="2268" w:type="dxa"/>
          </w:tcPr>
          <w:p w:rsidR="007D4BA9" w:rsidRDefault="007D4BA9">
            <w:pPr>
              <w:pStyle w:val="ConsPlusNormal"/>
              <w:jc w:val="center"/>
            </w:pPr>
            <w:r>
              <w:t>150</w:t>
            </w:r>
          </w:p>
        </w:tc>
        <w:tc>
          <w:tcPr>
            <w:tcW w:w="2438" w:type="dxa"/>
          </w:tcPr>
          <w:p w:rsidR="007D4BA9" w:rsidRDefault="007D4BA9">
            <w:pPr>
              <w:pStyle w:val="ConsPlusNormal"/>
              <w:jc w:val="center"/>
            </w:pPr>
            <w:r>
              <w:t>185</w:t>
            </w:r>
          </w:p>
        </w:tc>
      </w:tr>
      <w:tr w:rsidR="007D4BA9">
        <w:tc>
          <w:tcPr>
            <w:tcW w:w="2608" w:type="dxa"/>
            <w:vMerge w:val="restart"/>
          </w:tcPr>
          <w:p w:rsidR="007D4BA9" w:rsidRDefault="007D4BA9">
            <w:pPr>
              <w:pStyle w:val="ConsPlusNormal"/>
              <w:jc w:val="center"/>
            </w:pPr>
            <w:r>
              <w:t>100</w:t>
            </w:r>
          </w:p>
        </w:tc>
        <w:tc>
          <w:tcPr>
            <w:tcW w:w="1701" w:type="dxa"/>
          </w:tcPr>
          <w:p w:rsidR="007D4BA9" w:rsidRDefault="007D4BA9">
            <w:pPr>
              <w:pStyle w:val="ConsPlusNormal"/>
              <w:jc w:val="center"/>
            </w:pPr>
            <w:r>
              <w:t>20</w:t>
            </w:r>
          </w:p>
        </w:tc>
        <w:tc>
          <w:tcPr>
            <w:tcW w:w="2268" w:type="dxa"/>
          </w:tcPr>
          <w:p w:rsidR="007D4BA9" w:rsidRDefault="007D4BA9">
            <w:pPr>
              <w:pStyle w:val="ConsPlusNormal"/>
              <w:jc w:val="center"/>
            </w:pPr>
            <w:r>
              <w:t>250</w:t>
            </w:r>
          </w:p>
        </w:tc>
        <w:tc>
          <w:tcPr>
            <w:tcW w:w="2438" w:type="dxa"/>
          </w:tcPr>
          <w:p w:rsidR="007D4BA9" w:rsidRDefault="007D4BA9">
            <w:pPr>
              <w:pStyle w:val="ConsPlusNormal"/>
              <w:jc w:val="center"/>
            </w:pPr>
            <w:r>
              <w:t>390</w:t>
            </w:r>
          </w:p>
        </w:tc>
      </w:tr>
      <w:tr w:rsidR="007D4BA9">
        <w:tc>
          <w:tcPr>
            <w:tcW w:w="2608" w:type="dxa"/>
            <w:vMerge/>
          </w:tcPr>
          <w:p w:rsidR="007D4BA9" w:rsidRDefault="007D4BA9">
            <w:pPr>
              <w:pStyle w:val="ConsPlusNormal"/>
            </w:pPr>
          </w:p>
        </w:tc>
        <w:tc>
          <w:tcPr>
            <w:tcW w:w="1701" w:type="dxa"/>
          </w:tcPr>
          <w:p w:rsidR="007D4BA9" w:rsidRDefault="007D4BA9">
            <w:pPr>
              <w:pStyle w:val="ConsPlusNormal"/>
              <w:jc w:val="center"/>
            </w:pPr>
            <w:r>
              <w:t>30</w:t>
            </w:r>
          </w:p>
        </w:tc>
        <w:tc>
          <w:tcPr>
            <w:tcW w:w="2268" w:type="dxa"/>
          </w:tcPr>
          <w:p w:rsidR="007D4BA9" w:rsidRDefault="007D4BA9">
            <w:pPr>
              <w:pStyle w:val="ConsPlusNormal"/>
              <w:jc w:val="center"/>
            </w:pPr>
            <w:r>
              <w:t>240</w:t>
            </w:r>
          </w:p>
        </w:tc>
        <w:tc>
          <w:tcPr>
            <w:tcW w:w="2438" w:type="dxa"/>
          </w:tcPr>
          <w:p w:rsidR="007D4BA9" w:rsidRDefault="007D4BA9">
            <w:pPr>
              <w:pStyle w:val="ConsPlusNormal"/>
              <w:jc w:val="center"/>
            </w:pPr>
            <w:r>
              <w:t>380</w:t>
            </w:r>
          </w:p>
        </w:tc>
      </w:tr>
      <w:tr w:rsidR="007D4BA9">
        <w:tc>
          <w:tcPr>
            <w:tcW w:w="2608" w:type="dxa"/>
            <w:vMerge/>
          </w:tcPr>
          <w:p w:rsidR="007D4BA9" w:rsidRDefault="007D4BA9">
            <w:pPr>
              <w:pStyle w:val="ConsPlusNormal"/>
            </w:pPr>
          </w:p>
        </w:tc>
        <w:tc>
          <w:tcPr>
            <w:tcW w:w="1701" w:type="dxa"/>
          </w:tcPr>
          <w:p w:rsidR="007D4BA9" w:rsidRDefault="007D4BA9">
            <w:pPr>
              <w:pStyle w:val="ConsPlusNormal"/>
              <w:jc w:val="center"/>
            </w:pPr>
            <w:r>
              <w:t>40</w:t>
            </w:r>
          </w:p>
        </w:tc>
        <w:tc>
          <w:tcPr>
            <w:tcW w:w="2268" w:type="dxa"/>
          </w:tcPr>
          <w:p w:rsidR="007D4BA9" w:rsidRDefault="007D4BA9">
            <w:pPr>
              <w:pStyle w:val="ConsPlusNormal"/>
              <w:jc w:val="center"/>
            </w:pPr>
            <w:r>
              <w:t>230</w:t>
            </w:r>
          </w:p>
        </w:tc>
        <w:tc>
          <w:tcPr>
            <w:tcW w:w="2438" w:type="dxa"/>
          </w:tcPr>
          <w:p w:rsidR="007D4BA9" w:rsidRDefault="007D4BA9">
            <w:pPr>
              <w:pStyle w:val="ConsPlusNormal"/>
              <w:jc w:val="center"/>
            </w:pPr>
            <w:r>
              <w:t>345</w:t>
            </w:r>
          </w:p>
        </w:tc>
      </w:tr>
      <w:tr w:rsidR="007D4BA9">
        <w:tc>
          <w:tcPr>
            <w:tcW w:w="2608" w:type="dxa"/>
            <w:vMerge/>
          </w:tcPr>
          <w:p w:rsidR="007D4BA9" w:rsidRDefault="007D4BA9">
            <w:pPr>
              <w:pStyle w:val="ConsPlusNormal"/>
            </w:pPr>
          </w:p>
        </w:tc>
        <w:tc>
          <w:tcPr>
            <w:tcW w:w="1701" w:type="dxa"/>
          </w:tcPr>
          <w:p w:rsidR="007D4BA9" w:rsidRDefault="007D4BA9">
            <w:pPr>
              <w:pStyle w:val="ConsPlusNormal"/>
              <w:jc w:val="center"/>
            </w:pPr>
            <w:r>
              <w:t>50</w:t>
            </w:r>
          </w:p>
        </w:tc>
        <w:tc>
          <w:tcPr>
            <w:tcW w:w="2268" w:type="dxa"/>
          </w:tcPr>
          <w:p w:rsidR="007D4BA9" w:rsidRDefault="007D4BA9">
            <w:pPr>
              <w:pStyle w:val="ConsPlusNormal"/>
              <w:jc w:val="center"/>
            </w:pPr>
            <w:r>
              <w:t>210</w:t>
            </w:r>
          </w:p>
        </w:tc>
        <w:tc>
          <w:tcPr>
            <w:tcW w:w="2438" w:type="dxa"/>
          </w:tcPr>
          <w:p w:rsidR="007D4BA9" w:rsidRDefault="007D4BA9">
            <w:pPr>
              <w:pStyle w:val="ConsPlusNormal"/>
              <w:jc w:val="center"/>
            </w:pPr>
            <w:r>
              <w:t>320</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27" w:name="P1617"/>
      <w:bookmarkEnd w:id="27"/>
      <w:r>
        <w:t xml:space="preserve">&lt;*&gt; Расчетные показатели принимаются в соответствии с </w:t>
      </w:r>
      <w:hyperlink r:id="rId56">
        <w:r>
          <w:rPr>
            <w:color w:val="0000FF"/>
          </w:rPr>
          <w:t>СП 34.13330.2021</w:t>
        </w:r>
      </w:hyperlink>
      <w:r>
        <w:t xml:space="preserve"> </w:t>
      </w:r>
      <w:hyperlink r:id="rId57">
        <w:r>
          <w:rPr>
            <w:color w:val="0000FF"/>
          </w:rPr>
          <w:t>СП 396.1325800.2018</w:t>
        </w:r>
      </w:hyperlink>
      <w:r>
        <w:t>.</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t>1. Длина переходно-скоростной полосы разгона определена из условий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7D4BA9" w:rsidRDefault="007D4BA9">
      <w:pPr>
        <w:pStyle w:val="ConsPlusNormal"/>
        <w:spacing w:before="220"/>
        <w:ind w:firstLine="540"/>
        <w:jc w:val="both"/>
      </w:pPr>
      <w:r>
        <w:t>2. Скорость движения автомобилей по основному направлению принимают в зависимости от режима движения по крайней правой полосе основного направления.</w:t>
      </w:r>
    </w:p>
    <w:p w:rsidR="007D4BA9" w:rsidRDefault="007D4BA9">
      <w:pPr>
        <w:pStyle w:val="ConsPlusNormal"/>
        <w:spacing w:before="220"/>
        <w:ind w:firstLine="540"/>
        <w:jc w:val="both"/>
      </w:pPr>
      <w:r>
        <w:t>3. При величине продольного уклона от 0 до 40 процентов на спуске длина полосы разгона уменьшается на 10 - 20 процентов, торможения - увеличивается на 10 - 15 процентов. При увеличении продольного уклона от 0 до 40 на подъеме длина полосы разгона увеличивается на 15 - 30 процентов, торможения - уменьшается на 10 - 15 процентов.</w:t>
      </w:r>
    </w:p>
    <w:p w:rsidR="007D4BA9" w:rsidRDefault="007D4BA9">
      <w:pPr>
        <w:pStyle w:val="ConsPlusNormal"/>
        <w:jc w:val="both"/>
      </w:pPr>
    </w:p>
    <w:p w:rsidR="007D4BA9" w:rsidRDefault="007D4BA9">
      <w:pPr>
        <w:pStyle w:val="ConsPlusNormal"/>
        <w:ind w:firstLine="540"/>
        <w:jc w:val="both"/>
      </w:pPr>
      <w:r>
        <w:t>170. Расстояние от края проезжей части магистральной УДС до линии жилой застройки устанавливается на основании расчета уровня шума в соответствии с СП 51.13330.2016. В зоне санитарного разрыва от проезжей части следует размещать зеленые насаждения (не менее 70 процентов ширины территории зоны с посадками), паркинги, открытые стоянки.</w:t>
      </w:r>
    </w:p>
    <w:p w:rsidR="007D4BA9" w:rsidRDefault="007D4BA9">
      <w:pPr>
        <w:pStyle w:val="ConsPlusNormal"/>
        <w:spacing w:before="220"/>
        <w:ind w:firstLine="540"/>
        <w:jc w:val="both"/>
      </w:pPr>
      <w:r>
        <w:t>171. В случае невозможности обеспечить нормативные уровни шума планировочными разрывами применяются другие меры защиты от шума (защитные экраны, круглогодичное озеленение).</w:t>
      </w:r>
    </w:p>
    <w:p w:rsidR="007D4BA9" w:rsidRDefault="007D4BA9">
      <w:pPr>
        <w:pStyle w:val="ConsPlusNormal"/>
        <w:spacing w:before="220"/>
        <w:ind w:firstLine="540"/>
        <w:jc w:val="both"/>
      </w:pPr>
      <w:r>
        <w:t xml:space="preserve">172. Въезды с улиц районного значения на территории планировочной единицы III уровня (жилого </w:t>
      </w:r>
      <w:proofErr w:type="gramStart"/>
      <w:r>
        <w:t xml:space="preserve">микрорайона </w:t>
      </w:r>
      <w:r w:rsidR="007C5BC7">
        <w:t xml:space="preserve"> </w:t>
      </w:r>
      <w:r>
        <w:t>)</w:t>
      </w:r>
      <w:proofErr w:type="gramEnd"/>
      <w:r>
        <w:t xml:space="preserve"> проектируют с шагом не более 200 м, в реконструируемых районах - не более 180 м. Примыкания проездов к проезжим частям магистральных улиц регулируемого движения допускаются на расстояниях не менее 50 м от стоп-линии перекрестков.</w:t>
      </w:r>
    </w:p>
    <w:p w:rsidR="007D4BA9" w:rsidRDefault="007D4BA9">
      <w:pPr>
        <w:pStyle w:val="ConsPlusNormal"/>
        <w:jc w:val="both"/>
      </w:pPr>
    </w:p>
    <w:p w:rsidR="007D4BA9" w:rsidRDefault="007D4BA9">
      <w:pPr>
        <w:pStyle w:val="ConsPlusTitle"/>
        <w:jc w:val="center"/>
        <w:outlineLvl w:val="2"/>
      </w:pPr>
      <w:r>
        <w:t>Глава 30. ПЕШЕХОДНЫЕ ЗОНЫ, УЛИЦЫ, ПЛОЩАДИ, НАБЕРЕЖНЫЕ</w:t>
      </w:r>
    </w:p>
    <w:p w:rsidR="007D4BA9" w:rsidRDefault="007D4BA9">
      <w:pPr>
        <w:pStyle w:val="ConsPlusNormal"/>
        <w:jc w:val="both"/>
      </w:pPr>
    </w:p>
    <w:p w:rsidR="007D4BA9" w:rsidRDefault="007D4BA9">
      <w:pPr>
        <w:pStyle w:val="ConsPlusNormal"/>
        <w:ind w:firstLine="540"/>
        <w:jc w:val="both"/>
      </w:pPr>
      <w:r>
        <w:t xml:space="preserve">173. Пешеходные зоны, улицы, площади предусматриваются в системе общегородских центров города, а также в периферийных районах города </w:t>
      </w:r>
      <w:r w:rsidR="000B30E9">
        <w:t>Нижнекамск</w:t>
      </w:r>
      <w:r>
        <w:t xml:space="preserve"> и на вновь застраиваемых территориях.</w:t>
      </w:r>
    </w:p>
    <w:p w:rsidR="007D4BA9" w:rsidRDefault="007D4BA9">
      <w:pPr>
        <w:pStyle w:val="ConsPlusNormal"/>
        <w:spacing w:before="220"/>
        <w:ind w:firstLine="540"/>
        <w:jc w:val="both"/>
      </w:pPr>
      <w:r>
        <w:t xml:space="preserve">174. При планировочной организации пешеходных тротуаров следует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w:t>
      </w:r>
      <w:r>
        <w:lastRenderedPageBreak/>
        <w:t>санитарных правил и норм.</w:t>
      </w:r>
    </w:p>
    <w:p w:rsidR="007D4BA9" w:rsidRDefault="007D4BA9">
      <w:pPr>
        <w:pStyle w:val="ConsPlusNormal"/>
        <w:spacing w:before="220"/>
        <w:ind w:firstLine="540"/>
        <w:jc w:val="both"/>
      </w:pPr>
      <w:r>
        <w:t xml:space="preserve">175. При устройстве пешеходных улиц и зон на территории города </w:t>
      </w:r>
      <w:r w:rsidR="000B30E9">
        <w:t>Нижнекамск</w:t>
      </w:r>
      <w:r>
        <w:t xml:space="preserve">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w:t>
      </w:r>
    </w:p>
    <w:p w:rsidR="007D4BA9" w:rsidRDefault="007D4BA9">
      <w:pPr>
        <w:pStyle w:val="ConsPlusNormal"/>
        <w:spacing w:before="220"/>
        <w:ind w:firstLine="540"/>
        <w:jc w:val="both"/>
      </w:pPr>
      <w:r>
        <w:t xml:space="preserve">176. Размещение на территориях пешеходных зон, улиц, площадей некапитальных нестационарных сооружений, в которых размещаются предприятия мелкорозничной торговли, бытового обслуживания и питания (пассажи, палатки, павильоны, летние кафе), разрешается при условии обеспечения нормативных условий пропуска пешеходного потока на оставшейся (после размещения вышеуказанных объектов) ширине улицы (в соответствии с </w:t>
      </w:r>
      <w:hyperlink r:id="rId58">
        <w:r>
          <w:rPr>
            <w:color w:val="0000FF"/>
          </w:rPr>
          <w:t>СП 396.1325800.2018</w:t>
        </w:r>
      </w:hyperlink>
      <w:r>
        <w:t>).</w:t>
      </w:r>
    </w:p>
    <w:p w:rsidR="007D4BA9" w:rsidRDefault="007D4BA9">
      <w:pPr>
        <w:pStyle w:val="ConsPlusNormal"/>
        <w:spacing w:before="220"/>
        <w:ind w:firstLine="540"/>
        <w:jc w:val="both"/>
      </w:pPr>
      <w:r>
        <w:t>177. Бестранспортные зоны могут быть организованы не только постоянными, но и периодически действующими (в определенные дни недели или года либо в определенное время суток, когда отмечается наибольшая активность пешеходов).</w:t>
      </w:r>
    </w:p>
    <w:p w:rsidR="007D4BA9" w:rsidRDefault="007D4BA9">
      <w:pPr>
        <w:pStyle w:val="ConsPlusNormal"/>
        <w:spacing w:before="220"/>
        <w:ind w:firstLine="540"/>
        <w:jc w:val="both"/>
      </w:pPr>
      <w:r>
        <w:t>178. Устройство бестранспортных зон можно рассматривать как первый этап формирования пешеходных улиц, площадей и зон.</w:t>
      </w:r>
    </w:p>
    <w:p w:rsidR="007D4BA9" w:rsidRDefault="007D4BA9">
      <w:pPr>
        <w:pStyle w:val="ConsPlusNormal"/>
        <w:spacing w:before="220"/>
        <w:ind w:firstLine="540"/>
        <w:jc w:val="both"/>
      </w:pPr>
      <w:r>
        <w:t>179. В поперечном профиле бестранспортных зон сохраняется отделение тротуаров от проезжих частей бортовым камнем.</w:t>
      </w:r>
    </w:p>
    <w:p w:rsidR="007D4BA9" w:rsidRDefault="007D4BA9">
      <w:pPr>
        <w:pStyle w:val="ConsPlusNormal"/>
        <w:jc w:val="both"/>
      </w:pPr>
    </w:p>
    <w:p w:rsidR="007D4BA9" w:rsidRDefault="007D4BA9">
      <w:pPr>
        <w:pStyle w:val="ConsPlusTitle"/>
        <w:jc w:val="center"/>
        <w:outlineLvl w:val="2"/>
      </w:pPr>
      <w:r>
        <w:t>Глава 31. ВНЕКЛАССИФИКАЦИОННЫЕ КАТЕГОРИИ УЛИЦ И ДОРОГ</w:t>
      </w:r>
    </w:p>
    <w:p w:rsidR="007D4BA9" w:rsidRDefault="007D4BA9">
      <w:pPr>
        <w:pStyle w:val="ConsPlusNormal"/>
        <w:jc w:val="both"/>
      </w:pPr>
    </w:p>
    <w:p w:rsidR="007D4BA9" w:rsidRDefault="007D4BA9">
      <w:pPr>
        <w:pStyle w:val="ConsPlusNormal"/>
        <w:ind w:firstLine="540"/>
        <w:jc w:val="both"/>
      </w:pPr>
      <w:r>
        <w:t xml:space="preserve">180. Кроме классификационных категорий улиц и дорог в городе </w:t>
      </w:r>
      <w:r w:rsidR="000B30E9">
        <w:t>Нижнекамск</w:t>
      </w:r>
      <w:r>
        <w:t xml:space="preserve"> предусматриваются: проезды на территориях жилых </w:t>
      </w:r>
      <w:proofErr w:type="gramStart"/>
      <w:r>
        <w:t>микрорайонов  и</w:t>
      </w:r>
      <w:proofErr w:type="gramEnd"/>
      <w:r>
        <w:t xml:space="preserve"> планировочных единиц, парковые дороги на рекреационных территориях, велосипедные дорожки, которые проектируются в соответствии с характеристиками, приведенными в таблице 20.</w:t>
      </w:r>
    </w:p>
    <w:p w:rsidR="007D4BA9" w:rsidRDefault="007D4BA9">
      <w:pPr>
        <w:pStyle w:val="ConsPlusNormal"/>
        <w:jc w:val="both"/>
      </w:pPr>
    </w:p>
    <w:p w:rsidR="007D4BA9" w:rsidRDefault="007D4BA9">
      <w:pPr>
        <w:pStyle w:val="ConsPlusNormal"/>
        <w:jc w:val="right"/>
        <w:outlineLvl w:val="3"/>
      </w:pPr>
      <w:r>
        <w:t>Таблица 20</w:t>
      </w:r>
    </w:p>
    <w:p w:rsidR="007D4BA9" w:rsidRDefault="007D4BA9">
      <w:pPr>
        <w:pStyle w:val="ConsPlusNormal"/>
        <w:jc w:val="both"/>
      </w:pPr>
    </w:p>
    <w:p w:rsidR="007D4BA9" w:rsidRDefault="007D4BA9">
      <w:pPr>
        <w:pStyle w:val="ConsPlusTitle"/>
        <w:jc w:val="center"/>
      </w:pPr>
      <w:proofErr w:type="spellStart"/>
      <w:r>
        <w:t>Внеклассификационные</w:t>
      </w:r>
      <w:proofErr w:type="spellEnd"/>
      <w:r>
        <w:t xml:space="preserve"> категории улиц и дорог</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596"/>
        <w:gridCol w:w="6406"/>
      </w:tblGrid>
      <w:tr w:rsidR="007D4BA9">
        <w:tc>
          <w:tcPr>
            <w:tcW w:w="2596" w:type="dxa"/>
            <w:tcBorders>
              <w:top w:val="single" w:sz="4" w:space="0" w:color="auto"/>
              <w:bottom w:val="single" w:sz="4" w:space="0" w:color="auto"/>
            </w:tcBorders>
          </w:tcPr>
          <w:p w:rsidR="007D4BA9" w:rsidRDefault="007D4BA9">
            <w:pPr>
              <w:pStyle w:val="ConsPlusNormal"/>
              <w:jc w:val="center"/>
            </w:pPr>
            <w:r>
              <w:t>Вид коммуникации</w:t>
            </w:r>
          </w:p>
        </w:tc>
        <w:tc>
          <w:tcPr>
            <w:tcW w:w="6406" w:type="dxa"/>
            <w:tcBorders>
              <w:top w:val="single" w:sz="4" w:space="0" w:color="auto"/>
              <w:bottom w:val="single" w:sz="4" w:space="0" w:color="auto"/>
            </w:tcBorders>
          </w:tcPr>
          <w:p w:rsidR="007D4BA9" w:rsidRDefault="007D4BA9">
            <w:pPr>
              <w:pStyle w:val="ConsPlusNormal"/>
              <w:jc w:val="center"/>
            </w:pPr>
            <w:r>
              <w:t>Основное назначение коммуникаций</w:t>
            </w:r>
          </w:p>
        </w:tc>
      </w:tr>
      <w:tr w:rsidR="007D4BA9">
        <w:tc>
          <w:tcPr>
            <w:tcW w:w="2596" w:type="dxa"/>
            <w:tcBorders>
              <w:top w:val="single" w:sz="4" w:space="0" w:color="auto"/>
              <w:bottom w:val="single" w:sz="4" w:space="0" w:color="auto"/>
            </w:tcBorders>
          </w:tcPr>
          <w:p w:rsidR="007D4BA9" w:rsidRDefault="007D4BA9">
            <w:pPr>
              <w:pStyle w:val="ConsPlusNormal"/>
            </w:pPr>
            <w:r>
              <w:t>Парковые дороги</w:t>
            </w:r>
          </w:p>
        </w:tc>
        <w:tc>
          <w:tcPr>
            <w:tcW w:w="6406" w:type="dxa"/>
            <w:tcBorders>
              <w:top w:val="single" w:sz="4" w:space="0" w:color="auto"/>
              <w:bottom w:val="single" w:sz="4" w:space="0" w:color="auto"/>
            </w:tcBorders>
          </w:tcPr>
          <w:p w:rsidR="007D4BA9" w:rsidRDefault="007D4BA9">
            <w:pPr>
              <w:pStyle w:val="ConsPlusNormal"/>
              <w:jc w:val="both"/>
            </w:pPr>
            <w:r>
              <w:t>Дороги на территориях парков и лесопарков, предназначенные для обслуживания этих территорий. Пропуск специальных видов транспорта (уборочная техника, МЧС, скорая помощь, полиция), а также паркового транспорта, включая моторизованный транспорт на электротяге, велосипедный, конный и другие виды, с учетом местных особенностей</w:t>
            </w:r>
          </w:p>
        </w:tc>
      </w:tr>
      <w:tr w:rsidR="007D4BA9">
        <w:tblPrEx>
          <w:tblBorders>
            <w:insideH w:val="none" w:sz="0" w:space="0" w:color="auto"/>
          </w:tblBorders>
        </w:tblPrEx>
        <w:tc>
          <w:tcPr>
            <w:tcW w:w="2596" w:type="dxa"/>
            <w:tcBorders>
              <w:top w:val="single" w:sz="4" w:space="0" w:color="auto"/>
              <w:bottom w:val="nil"/>
            </w:tcBorders>
          </w:tcPr>
          <w:p w:rsidR="007D4BA9" w:rsidRDefault="007D4BA9">
            <w:pPr>
              <w:pStyle w:val="ConsPlusNormal"/>
            </w:pPr>
            <w:r>
              <w:t>Внутриквартальные проезды</w:t>
            </w:r>
          </w:p>
        </w:tc>
        <w:tc>
          <w:tcPr>
            <w:tcW w:w="6406" w:type="dxa"/>
            <w:tcBorders>
              <w:top w:val="single" w:sz="4" w:space="0" w:color="auto"/>
              <w:bottom w:val="nil"/>
            </w:tcBorders>
          </w:tcPr>
          <w:p w:rsidR="007D4BA9" w:rsidRDefault="007D4BA9">
            <w:pPr>
              <w:pStyle w:val="ConsPlusNormal"/>
              <w:jc w:val="both"/>
            </w:pPr>
            <w:r>
              <w:t>Коммуникации, обеспечивающие подъезд транспортных средств к жилым и общественным зданиям, учреждениям, предприятиям и другим объектам городской застройки на территориях жилых микрорайонов  и планировочных районов</w:t>
            </w:r>
          </w:p>
        </w:tc>
      </w:tr>
      <w:tr w:rsidR="007D4BA9">
        <w:tblPrEx>
          <w:tblBorders>
            <w:insideH w:val="none" w:sz="0" w:space="0" w:color="auto"/>
          </w:tblBorders>
        </w:tblPrEx>
        <w:tc>
          <w:tcPr>
            <w:tcW w:w="2596" w:type="dxa"/>
            <w:tcBorders>
              <w:top w:val="nil"/>
              <w:bottom w:val="nil"/>
            </w:tcBorders>
          </w:tcPr>
          <w:p w:rsidR="007D4BA9" w:rsidRDefault="007D4BA9">
            <w:pPr>
              <w:pStyle w:val="ConsPlusNormal"/>
            </w:pPr>
            <w:r>
              <w:t>Проезды основные</w:t>
            </w:r>
          </w:p>
        </w:tc>
        <w:tc>
          <w:tcPr>
            <w:tcW w:w="6406" w:type="dxa"/>
            <w:tcBorders>
              <w:top w:val="nil"/>
              <w:bottom w:val="nil"/>
            </w:tcBorders>
          </w:tcPr>
          <w:p w:rsidR="007D4BA9" w:rsidRDefault="007D4BA9">
            <w:pPr>
              <w:pStyle w:val="ConsPlusNormal"/>
              <w:jc w:val="both"/>
            </w:pPr>
            <w:r>
              <w:t>Коммуникации, обеспечивающие подъезд транспортных средств к группам зданий, сооружений. В состав поперечного профиля включается тротуар. Разрешается устраивать тротуар с одной стороны</w:t>
            </w:r>
          </w:p>
        </w:tc>
      </w:tr>
      <w:tr w:rsidR="007D4BA9">
        <w:tblPrEx>
          <w:tblBorders>
            <w:insideH w:val="none" w:sz="0" w:space="0" w:color="auto"/>
          </w:tblBorders>
        </w:tblPrEx>
        <w:tc>
          <w:tcPr>
            <w:tcW w:w="2596" w:type="dxa"/>
            <w:tcBorders>
              <w:top w:val="nil"/>
              <w:bottom w:val="single" w:sz="4" w:space="0" w:color="auto"/>
            </w:tcBorders>
          </w:tcPr>
          <w:p w:rsidR="007D4BA9" w:rsidRDefault="007D4BA9">
            <w:pPr>
              <w:pStyle w:val="ConsPlusNormal"/>
            </w:pPr>
            <w:r>
              <w:t>Проезды второстепенные</w:t>
            </w:r>
          </w:p>
        </w:tc>
        <w:tc>
          <w:tcPr>
            <w:tcW w:w="6406" w:type="dxa"/>
            <w:tcBorders>
              <w:top w:val="nil"/>
              <w:bottom w:val="single" w:sz="4" w:space="0" w:color="auto"/>
            </w:tcBorders>
          </w:tcPr>
          <w:p w:rsidR="007D4BA9" w:rsidRDefault="007D4BA9">
            <w:pPr>
              <w:pStyle w:val="ConsPlusNormal"/>
              <w:jc w:val="both"/>
            </w:pPr>
            <w:r>
              <w:t xml:space="preserve">Коммуникации, обеспечивающие подъезд транспортных средств к </w:t>
            </w:r>
            <w:r>
              <w:lastRenderedPageBreak/>
              <w:t>отдельным зданиям, сооружениям. Разрешается устраивать без тротуара</w:t>
            </w:r>
          </w:p>
        </w:tc>
      </w:tr>
      <w:tr w:rsidR="007D4BA9">
        <w:tblPrEx>
          <w:tblBorders>
            <w:insideH w:val="none" w:sz="0" w:space="0" w:color="auto"/>
          </w:tblBorders>
        </w:tblPrEx>
        <w:tc>
          <w:tcPr>
            <w:tcW w:w="2596" w:type="dxa"/>
            <w:tcBorders>
              <w:top w:val="single" w:sz="4" w:space="0" w:color="auto"/>
              <w:bottom w:val="nil"/>
            </w:tcBorders>
          </w:tcPr>
          <w:p w:rsidR="007D4BA9" w:rsidRDefault="007D4BA9">
            <w:pPr>
              <w:pStyle w:val="ConsPlusNormal"/>
            </w:pPr>
            <w:r>
              <w:lastRenderedPageBreak/>
              <w:t>Велосипедные дорожки:</w:t>
            </w:r>
          </w:p>
        </w:tc>
        <w:tc>
          <w:tcPr>
            <w:tcW w:w="6406" w:type="dxa"/>
            <w:tcBorders>
              <w:top w:val="single" w:sz="4" w:space="0" w:color="auto"/>
              <w:bottom w:val="nil"/>
            </w:tcBorders>
          </w:tcPr>
          <w:p w:rsidR="007D4BA9" w:rsidRDefault="007D4BA9">
            <w:pPr>
              <w:pStyle w:val="ConsPlusNormal"/>
            </w:pPr>
          </w:p>
        </w:tc>
      </w:tr>
      <w:tr w:rsidR="007D4BA9">
        <w:tblPrEx>
          <w:tblBorders>
            <w:insideH w:val="none" w:sz="0" w:space="0" w:color="auto"/>
          </w:tblBorders>
        </w:tblPrEx>
        <w:tc>
          <w:tcPr>
            <w:tcW w:w="2596" w:type="dxa"/>
            <w:tcBorders>
              <w:top w:val="nil"/>
              <w:bottom w:val="nil"/>
            </w:tcBorders>
          </w:tcPr>
          <w:p w:rsidR="007D4BA9" w:rsidRDefault="007D4BA9">
            <w:pPr>
              <w:pStyle w:val="ConsPlusNormal"/>
            </w:pPr>
            <w:r>
              <w:t>в составе поперечного профиля УДС</w:t>
            </w:r>
          </w:p>
        </w:tc>
        <w:tc>
          <w:tcPr>
            <w:tcW w:w="6406" w:type="dxa"/>
            <w:tcBorders>
              <w:top w:val="nil"/>
              <w:bottom w:val="nil"/>
            </w:tcBorders>
          </w:tcPr>
          <w:p w:rsidR="007D4BA9" w:rsidRDefault="007D4BA9">
            <w:pPr>
              <w:pStyle w:val="ConsPlusNormal"/>
              <w:jc w:val="both"/>
            </w:pPr>
            <w:r>
              <w:t>Коммуникации, предназначенные для движения велосипедного транспорта, в составе поперечного профиля улиц устраиваются на улицах, обособленно от иных видов передвижений</w:t>
            </w:r>
          </w:p>
        </w:tc>
      </w:tr>
      <w:tr w:rsidR="007D4BA9">
        <w:tblPrEx>
          <w:tblBorders>
            <w:insideH w:val="none" w:sz="0" w:space="0" w:color="auto"/>
          </w:tblBorders>
        </w:tblPrEx>
        <w:tc>
          <w:tcPr>
            <w:tcW w:w="2596" w:type="dxa"/>
            <w:tcBorders>
              <w:top w:val="nil"/>
              <w:bottom w:val="single" w:sz="4" w:space="0" w:color="auto"/>
            </w:tcBorders>
          </w:tcPr>
          <w:p w:rsidR="007D4BA9" w:rsidRDefault="007D4BA9">
            <w:pPr>
              <w:pStyle w:val="ConsPlusNormal"/>
            </w:pPr>
            <w:r>
              <w:t>на рекреационных, внутриквартальных территориях</w:t>
            </w:r>
          </w:p>
        </w:tc>
        <w:tc>
          <w:tcPr>
            <w:tcW w:w="6406" w:type="dxa"/>
            <w:tcBorders>
              <w:top w:val="nil"/>
              <w:bottom w:val="single" w:sz="4" w:space="0" w:color="auto"/>
            </w:tcBorders>
          </w:tcPr>
          <w:p w:rsidR="007D4BA9" w:rsidRDefault="007D4BA9">
            <w:pPr>
              <w:pStyle w:val="ConsPlusNormal"/>
              <w:jc w:val="both"/>
            </w:pPr>
            <w:r>
              <w:t>Коммуникации в виде самостоятельных трасс на рекреационных территориях, территориях зон отдыха и спорта, набережных, лесопарков, парков, скверов, внутриквартальных территориях</w:t>
            </w:r>
          </w:p>
        </w:tc>
      </w:tr>
    </w:tbl>
    <w:p w:rsidR="007D4BA9" w:rsidRDefault="007D4BA9">
      <w:pPr>
        <w:pStyle w:val="ConsPlusNormal"/>
        <w:jc w:val="both"/>
      </w:pPr>
    </w:p>
    <w:p w:rsidR="007D4BA9" w:rsidRDefault="007D4BA9">
      <w:pPr>
        <w:pStyle w:val="ConsPlusNormal"/>
        <w:ind w:firstLine="540"/>
        <w:jc w:val="both"/>
      </w:pPr>
      <w:r>
        <w:t xml:space="preserve">Примечание. Для обеспечения проезда пожарных автомобилей используются внутриквартальные проезды. Дополнительные проезды устраиваются в соответствии с </w:t>
      </w:r>
      <w:hyperlink r:id="rId59">
        <w:r>
          <w:rPr>
            <w:color w:val="0000FF"/>
          </w:rPr>
          <w:t>СП 396.1325800.2018</w:t>
        </w:r>
      </w:hyperlink>
      <w:r>
        <w:t>.</w:t>
      </w:r>
    </w:p>
    <w:p w:rsidR="007D4BA9" w:rsidRDefault="007D4BA9">
      <w:pPr>
        <w:pStyle w:val="ConsPlusNormal"/>
        <w:jc w:val="both"/>
      </w:pPr>
    </w:p>
    <w:p w:rsidR="007D4BA9" w:rsidRDefault="007D4BA9">
      <w:pPr>
        <w:pStyle w:val="ConsPlusNormal"/>
        <w:ind w:firstLine="540"/>
        <w:jc w:val="both"/>
      </w:pPr>
      <w:r>
        <w:t>181. Границы проездов линиями градостроительного регулирования не закрепляются (кроме пожарных проездов к территориям ДОО и общеобразовательных организаций).</w:t>
      </w:r>
    </w:p>
    <w:p w:rsidR="007D4BA9" w:rsidRDefault="007D4BA9">
      <w:pPr>
        <w:pStyle w:val="ConsPlusNormal"/>
        <w:spacing w:before="220"/>
        <w:ind w:firstLine="540"/>
        <w:jc w:val="both"/>
      </w:pPr>
      <w:r>
        <w:t>182. Вдоль проездов, выходящих на УДС, следует предусматривать тротуары шириной не менее 1,5 м, устраивая разъездные площадки для встречного движения маломобильных групп населения на креслах-колясках в соответствии с требованиями нормативных документов Российской Федерации о социальной защите граждан и обеспечении беспрепятственного доступа маломобильных групп населения к объектам социальной, транспортной и инженерной инфраструктур.</w:t>
      </w:r>
    </w:p>
    <w:p w:rsidR="007D4BA9" w:rsidRDefault="007D4BA9">
      <w:pPr>
        <w:pStyle w:val="ConsPlusNormal"/>
        <w:spacing w:before="220"/>
        <w:ind w:firstLine="540"/>
        <w:jc w:val="both"/>
      </w:pPr>
      <w:r>
        <w:t xml:space="preserve">183. Тротуары разрешается </w:t>
      </w:r>
      <w:proofErr w:type="gramStart"/>
      <w:r>
        <w:t>устраивать</w:t>
      </w:r>
      <w:proofErr w:type="gramEnd"/>
      <w:r>
        <w:t xml:space="preserve"> с одной стороны. Вдоль второстепенных проездов тротуары разрешается не предусматривать.</w:t>
      </w:r>
    </w:p>
    <w:p w:rsidR="007D4BA9" w:rsidRDefault="007D4BA9">
      <w:pPr>
        <w:pStyle w:val="ConsPlusNormal"/>
        <w:jc w:val="both"/>
      </w:pPr>
    </w:p>
    <w:p w:rsidR="007D4BA9" w:rsidRDefault="007D4BA9">
      <w:pPr>
        <w:pStyle w:val="ConsPlusTitle"/>
        <w:jc w:val="center"/>
        <w:outlineLvl w:val="2"/>
      </w:pPr>
      <w:r>
        <w:t>Глава 32. ИНФРАСТРУКТУРА ДЛЯ ВЕЛОДВИЖЕНИЯ</w:t>
      </w:r>
    </w:p>
    <w:p w:rsidR="007D4BA9" w:rsidRDefault="007D4BA9">
      <w:pPr>
        <w:pStyle w:val="ConsPlusNormal"/>
        <w:jc w:val="both"/>
      </w:pPr>
    </w:p>
    <w:p w:rsidR="007D4BA9" w:rsidRDefault="007D4BA9">
      <w:pPr>
        <w:pStyle w:val="ConsPlusNormal"/>
        <w:ind w:firstLine="540"/>
        <w:jc w:val="both"/>
      </w:pPr>
      <w:r>
        <w:t>184. Велосипедные дорожки устраиваются:</w:t>
      </w:r>
    </w:p>
    <w:p w:rsidR="007D4BA9" w:rsidRDefault="007D4BA9">
      <w:pPr>
        <w:pStyle w:val="ConsPlusNormal"/>
        <w:spacing w:before="220"/>
        <w:ind w:firstLine="540"/>
        <w:jc w:val="both"/>
      </w:pPr>
      <w:r>
        <w:t>1) обособленными, расположенными на проезжей части улицы и отделенными техническими средствами организации дорожного движения от проезжей части;</w:t>
      </w:r>
    </w:p>
    <w:p w:rsidR="007D4BA9" w:rsidRDefault="007D4BA9">
      <w:pPr>
        <w:pStyle w:val="ConsPlusNormal"/>
        <w:spacing w:before="220"/>
        <w:ind w:firstLine="540"/>
        <w:jc w:val="both"/>
      </w:pPr>
      <w:r>
        <w:t>2) изолированными, расположенными вне проезжей части и предназначенными только для движения велосипедистов;</w:t>
      </w:r>
    </w:p>
    <w:p w:rsidR="007D4BA9" w:rsidRDefault="007D4BA9">
      <w:pPr>
        <w:pStyle w:val="ConsPlusNormal"/>
        <w:spacing w:before="220"/>
        <w:ind w:firstLine="540"/>
        <w:jc w:val="both"/>
      </w:pPr>
      <w:r>
        <w:t>3) размещенными на проезжей части с выделением разметкой или мощением.</w:t>
      </w:r>
    </w:p>
    <w:p w:rsidR="007D4BA9" w:rsidRDefault="007D4BA9">
      <w:pPr>
        <w:pStyle w:val="ConsPlusNormal"/>
        <w:spacing w:before="220"/>
        <w:ind w:firstLine="540"/>
        <w:jc w:val="both"/>
      </w:pPr>
      <w:r>
        <w:t xml:space="preserve">185. Велосипедное движение на УДС организуется с соблюдением требований, приведенных в </w:t>
      </w:r>
      <w:hyperlink r:id="rId60">
        <w:r>
          <w:rPr>
            <w:color w:val="0000FF"/>
          </w:rPr>
          <w:t>ГОСТ 33150-2014</w:t>
        </w:r>
      </w:hyperlink>
      <w:r>
        <w:t>.</w:t>
      </w:r>
    </w:p>
    <w:p w:rsidR="007D4BA9" w:rsidRDefault="007D4BA9">
      <w:pPr>
        <w:pStyle w:val="ConsPlusNormal"/>
        <w:spacing w:before="220"/>
        <w:ind w:firstLine="540"/>
        <w:jc w:val="both"/>
      </w:pPr>
      <w:r>
        <w:t xml:space="preserve">186. </w:t>
      </w:r>
      <w:proofErr w:type="spellStart"/>
      <w:r>
        <w:t>Велопарковки</w:t>
      </w:r>
      <w:proofErr w:type="spellEnd"/>
      <w:r>
        <w:t xml:space="preserve"> устраиваются у объектов массового посещения людей (стадионы, кинотеатры, спортивные комплексы, развлекательные и торговые центры, вокзалы), учебных заведений, парков, скверов и набережных с учетом функционального назначения объекта.</w:t>
      </w:r>
    </w:p>
    <w:p w:rsidR="007D4BA9" w:rsidRDefault="007D4BA9">
      <w:pPr>
        <w:pStyle w:val="ConsPlusNormal"/>
        <w:spacing w:before="220"/>
        <w:ind w:firstLine="540"/>
        <w:jc w:val="both"/>
      </w:pPr>
      <w:r>
        <w:t xml:space="preserve">187. Для объектов нежилого назначения с массовым посещением людей при площади более 500 кв. м рекомендуется устанавливать </w:t>
      </w:r>
      <w:proofErr w:type="spellStart"/>
      <w:r>
        <w:t>велопарковки</w:t>
      </w:r>
      <w:proofErr w:type="spellEnd"/>
      <w:r>
        <w:t xml:space="preserve"> исходя из потенциальной потребности.</w:t>
      </w:r>
    </w:p>
    <w:p w:rsidR="007D4BA9" w:rsidRDefault="007D4BA9">
      <w:pPr>
        <w:pStyle w:val="ConsPlusNormal"/>
        <w:spacing w:before="220"/>
        <w:ind w:firstLine="540"/>
        <w:jc w:val="both"/>
      </w:pPr>
      <w:r>
        <w:t xml:space="preserve">188. При прохождении велосипедной дорожки параллельно тротуару в местах их пересечения с проездами во дворы, в том случае если между тротуаром с велосипедной дорожкой и проезжей частью улицы есть озелененная или иная разделительная полоса шириной не менее 4 </w:t>
      </w:r>
      <w:r>
        <w:lastRenderedPageBreak/>
        <w:t>м, велодорожка и тротуар проектируются приподнятыми.</w:t>
      </w:r>
    </w:p>
    <w:p w:rsidR="007D4BA9" w:rsidRDefault="007D4BA9">
      <w:pPr>
        <w:pStyle w:val="ConsPlusNormal"/>
        <w:spacing w:before="220"/>
        <w:ind w:firstLine="540"/>
        <w:jc w:val="both"/>
      </w:pPr>
      <w:r>
        <w:t xml:space="preserve">189. В условиях сложившейся застройки, не позволяющей разместить велосипедную парковку с соблюдением всех требований, проектирование </w:t>
      </w:r>
      <w:proofErr w:type="spellStart"/>
      <w:r>
        <w:t>велопарковки</w:t>
      </w:r>
      <w:proofErr w:type="spellEnd"/>
      <w:r>
        <w:t xml:space="preserve"> осуществляется с учетом имеющихся пространственно-планировочных возможностей.</w:t>
      </w:r>
    </w:p>
    <w:p w:rsidR="007D4BA9" w:rsidRDefault="007D4BA9">
      <w:pPr>
        <w:pStyle w:val="ConsPlusNormal"/>
        <w:spacing w:before="220"/>
        <w:ind w:firstLine="540"/>
        <w:jc w:val="both"/>
      </w:pPr>
      <w:r>
        <w:t>190. При прохождении велосипедной дорожки параллельно тротуару в местах пересечения тротуаров и велосипедных дорожек с проездами во дворы, в случае если между тротуаром с велосипедной дорожкой и проезжей частью, перпендикулярной проезду, который пересекает тротуар с велосипедной дорожкой, есть озелененная или иная разделительная полоса шириной не менее 4 м, проезд проектируется приподнятым в один уровень с тротуаром и велосипедной дорожкой.</w:t>
      </w:r>
    </w:p>
    <w:p w:rsidR="007D4BA9" w:rsidRDefault="007D4BA9">
      <w:pPr>
        <w:pStyle w:val="ConsPlusNormal"/>
        <w:jc w:val="both"/>
      </w:pPr>
    </w:p>
    <w:p w:rsidR="007D4BA9" w:rsidRDefault="007D4BA9">
      <w:pPr>
        <w:pStyle w:val="ConsPlusTitle"/>
        <w:jc w:val="center"/>
        <w:outlineLvl w:val="2"/>
      </w:pPr>
      <w:bookmarkStart w:id="28" w:name="P1682"/>
      <w:bookmarkEnd w:id="28"/>
      <w:r>
        <w:t>Глава 33. ХРАНЕНИЕ И ПАРКИРОВАНИЕ ЛЕГКОВОГО АВТОТРАНСПОРТА</w:t>
      </w:r>
    </w:p>
    <w:p w:rsidR="007D4BA9" w:rsidRDefault="007D4BA9">
      <w:pPr>
        <w:pStyle w:val="ConsPlusNormal"/>
        <w:jc w:val="both"/>
      </w:pPr>
    </w:p>
    <w:p w:rsidR="007D4BA9" w:rsidRDefault="007D4BA9">
      <w:pPr>
        <w:pStyle w:val="ConsPlusNormal"/>
        <w:ind w:firstLine="540"/>
        <w:jc w:val="both"/>
      </w:pPr>
      <w:r>
        <w:t xml:space="preserve">191. В жилой застройке должны быть предусмотрены места для постоянного хранения легковых автомобилей и временного </w:t>
      </w:r>
      <w:proofErr w:type="spellStart"/>
      <w:r>
        <w:t>паркирования</w:t>
      </w:r>
      <w:proofErr w:type="spellEnd"/>
      <w:r>
        <w:t xml:space="preserve"> автомобилей (на гостевых стоянках).</w:t>
      </w:r>
    </w:p>
    <w:p w:rsidR="007D4BA9" w:rsidRDefault="007D4BA9">
      <w:pPr>
        <w:pStyle w:val="ConsPlusNormal"/>
        <w:spacing w:before="220"/>
        <w:ind w:firstLine="540"/>
        <w:jc w:val="both"/>
      </w:pPr>
      <w:r>
        <w:t xml:space="preserve">192. Общее количество </w:t>
      </w:r>
      <w:proofErr w:type="spellStart"/>
      <w:r>
        <w:t>машино</w:t>
      </w:r>
      <w:proofErr w:type="spellEnd"/>
      <w:r>
        <w:t>-мест определяется суммой показателей хранения легковых автомобилей и гостевых стоянок.</w:t>
      </w:r>
    </w:p>
    <w:p w:rsidR="007D4BA9" w:rsidRDefault="007D4BA9">
      <w:pPr>
        <w:pStyle w:val="ConsPlusNormal"/>
        <w:spacing w:before="220"/>
        <w:ind w:firstLine="540"/>
        <w:jc w:val="both"/>
      </w:pPr>
      <w:r>
        <w:t>193. На территориях жи</w:t>
      </w:r>
      <w:r w:rsidR="00CA5870">
        <w:t>лых микрорайонов</w:t>
      </w:r>
      <w:r>
        <w:t xml:space="preserve">, жилых комплексов, групп жилых домов, отдельных жилых зданий количество </w:t>
      </w:r>
      <w:proofErr w:type="spellStart"/>
      <w:r>
        <w:t>машино</w:t>
      </w:r>
      <w:proofErr w:type="spellEnd"/>
      <w:r>
        <w:t xml:space="preserve">-мест для легковых автомобилей населения определяется исходя из нормы: 1 </w:t>
      </w:r>
      <w:proofErr w:type="spellStart"/>
      <w:r>
        <w:t>машино</w:t>
      </w:r>
      <w:proofErr w:type="spellEnd"/>
      <w:r>
        <w:t xml:space="preserve">-место на 55 кв. м общей площади квартир, при достижении расчетного показателя обеспечения 1 парковочное место на 1 квартиру, допускается применение </w:t>
      </w:r>
      <w:r w:rsidR="005F2CD8">
        <w:t>понижающего коэффициента 0,7 к норме обеспечения</w:t>
      </w:r>
      <w:r w:rsidR="009A195B">
        <w:t xml:space="preserve"> от</w:t>
      </w:r>
      <w:bookmarkStart w:id="29" w:name="_GoBack"/>
      <w:bookmarkEnd w:id="29"/>
      <w:r w:rsidR="005F2CD8">
        <w:t xml:space="preserve"> </w:t>
      </w:r>
      <w:r w:rsidR="00D83A00">
        <w:t>общей площади квартир</w:t>
      </w:r>
      <w:r>
        <w:t>. Допускается размещение парковочных мест, количеством не более 10 процентов от общей потребности в парковочных местах, за пределами территории проектирования в паркингах и гаражах при соблюдении пешеходной доступности не более 800 м и письменного подтверждения наличия в местах предполагаемого хранения легковых автомобилей необходимого числа свободных мест.</w:t>
      </w:r>
    </w:p>
    <w:p w:rsidR="007D4BA9" w:rsidRDefault="007D4BA9">
      <w:pPr>
        <w:pStyle w:val="ConsPlusNormal"/>
        <w:spacing w:before="220"/>
        <w:ind w:firstLine="540"/>
        <w:jc w:val="both"/>
      </w:pPr>
      <w:r>
        <w:t>194. При размещении парковочных мест на стоянках автомобилей рекомендуется предусматривать парковочные места для электрического автомобильного транспорта, оборудованные устройствами зарядной сервисной инфраструктуры, в количестве не менее пяти процентов общего числа мест.</w:t>
      </w:r>
    </w:p>
    <w:p w:rsidR="007D4BA9" w:rsidRDefault="007D4BA9">
      <w:pPr>
        <w:pStyle w:val="ConsPlusNormal"/>
        <w:spacing w:before="220"/>
        <w:ind w:firstLine="540"/>
        <w:jc w:val="both"/>
      </w:pPr>
      <w:r>
        <w:t xml:space="preserve">195. Не менее одной топливораздаточной колонки каждого вида топлива и одного места зарядки электрического автомобильного транспорта на автозаправочных станциях должны быть доступны для инвалидов на кресле - коляске в соответствии с </w:t>
      </w:r>
      <w:hyperlink r:id="rId61">
        <w:r>
          <w:rPr>
            <w:color w:val="0000FF"/>
          </w:rPr>
          <w:t>СП 59.13330.2020</w:t>
        </w:r>
      </w:hyperlink>
      <w:r>
        <w:t xml:space="preserve"> "Доступность зданий и сооружений для маломобильных групп населения. СНиП 35-01-2001".</w:t>
      </w:r>
    </w:p>
    <w:p w:rsidR="007D4BA9" w:rsidRDefault="007D4BA9">
      <w:pPr>
        <w:pStyle w:val="ConsPlusNormal"/>
        <w:spacing w:before="220"/>
        <w:ind w:firstLine="540"/>
        <w:jc w:val="both"/>
      </w:pPr>
      <w:r>
        <w:t xml:space="preserve">196. Расчетное количество </w:t>
      </w:r>
      <w:proofErr w:type="spellStart"/>
      <w:r>
        <w:t>машино</w:t>
      </w:r>
      <w:proofErr w:type="spellEnd"/>
      <w:r>
        <w:t>-мест постоянного хранения автотранспорта может быть сокращено на 20 процентов в случаях, если жилищное строительство ведется на реорганизуемой территории.</w:t>
      </w:r>
    </w:p>
    <w:p w:rsidR="007D4BA9" w:rsidRDefault="007D4BA9">
      <w:pPr>
        <w:pStyle w:val="ConsPlusNormal"/>
        <w:spacing w:before="220"/>
        <w:ind w:firstLine="540"/>
        <w:jc w:val="both"/>
      </w:pPr>
      <w:r>
        <w:t xml:space="preserve">197. При наличии нескольких условий общее уменьшение процента </w:t>
      </w:r>
      <w:proofErr w:type="spellStart"/>
      <w:r>
        <w:t>машино</w:t>
      </w:r>
      <w:proofErr w:type="spellEnd"/>
      <w:r>
        <w:t>-мест не суммируется и не должно превышать 20 процентов.</w:t>
      </w:r>
    </w:p>
    <w:p w:rsidR="007D4BA9" w:rsidRDefault="007D4BA9">
      <w:pPr>
        <w:pStyle w:val="ConsPlusNormal"/>
        <w:spacing w:before="220"/>
        <w:ind w:firstLine="540"/>
        <w:jc w:val="both"/>
      </w:pPr>
      <w:r>
        <w:t>198. Расчетное количество гостевых парковочных мест может располагаться на:</w:t>
      </w:r>
    </w:p>
    <w:p w:rsidR="007D4BA9" w:rsidRDefault="007D4BA9">
      <w:pPr>
        <w:pStyle w:val="ConsPlusNormal"/>
        <w:spacing w:before="220"/>
        <w:ind w:firstLine="540"/>
        <w:jc w:val="both"/>
      </w:pPr>
      <w:r>
        <w:t>1) поверхности земельного участка жилого дома, в том числе в пределах стилобата без ограждающих конструкций (на открытом пространстве);</w:t>
      </w:r>
    </w:p>
    <w:p w:rsidR="007D4BA9" w:rsidRDefault="007D4BA9">
      <w:pPr>
        <w:pStyle w:val="ConsPlusNormal"/>
        <w:spacing w:before="220"/>
        <w:ind w:firstLine="540"/>
        <w:jc w:val="both"/>
      </w:pPr>
      <w:r>
        <w:t>2) на стилобате жилого дома;</w:t>
      </w:r>
    </w:p>
    <w:p w:rsidR="007D4BA9" w:rsidRDefault="007D4BA9">
      <w:pPr>
        <w:pStyle w:val="ConsPlusNormal"/>
        <w:spacing w:before="220"/>
        <w:ind w:firstLine="540"/>
        <w:jc w:val="both"/>
      </w:pPr>
      <w:r>
        <w:lastRenderedPageBreak/>
        <w:t>3) на поверхности земельного участка, расположенного в радиусе пешеходной доступности от участка жилого дома не более 50 м, при условии получения разрешения на отклонение от предельных параметров разрешенного строительства;</w:t>
      </w:r>
    </w:p>
    <w:p w:rsidR="007D4BA9" w:rsidRDefault="007D4BA9">
      <w:pPr>
        <w:pStyle w:val="ConsPlusNormal"/>
        <w:spacing w:before="220"/>
        <w:ind w:firstLine="540"/>
        <w:jc w:val="both"/>
      </w:pPr>
      <w:r>
        <w:t>4) в стилобате, подземном или наземном паркинге.</w:t>
      </w:r>
    </w:p>
    <w:p w:rsidR="007D4BA9" w:rsidRDefault="007D4BA9">
      <w:pPr>
        <w:pStyle w:val="ConsPlusNormal"/>
        <w:spacing w:before="220"/>
        <w:ind w:firstLine="540"/>
        <w:jc w:val="both"/>
      </w:pPr>
      <w:r>
        <w:t xml:space="preserve">199. При комплексной застройке территории в случае наличия проекта планировки территории разрешается размещать расчетное количество </w:t>
      </w:r>
      <w:proofErr w:type="spellStart"/>
      <w:r>
        <w:t>машино</w:t>
      </w:r>
      <w:proofErr w:type="spellEnd"/>
      <w:r>
        <w:t>-мест постоянного хранения на открытых парковках, в паркингах и гаражно-стояночных объектах, расположенных на специально выделенном земельном участке, в соответствии с проектом планировки в радиусе 500 м или пешеходной доступности 800 м от проектируемой жилой застройки.</w:t>
      </w:r>
    </w:p>
    <w:p w:rsidR="007D4BA9" w:rsidRDefault="007D4BA9">
      <w:pPr>
        <w:pStyle w:val="ConsPlusNormal"/>
        <w:spacing w:before="220"/>
        <w:ind w:firstLine="540"/>
        <w:jc w:val="both"/>
      </w:pPr>
      <w:r>
        <w:t xml:space="preserve">200. В расчетное количество </w:t>
      </w:r>
      <w:proofErr w:type="spellStart"/>
      <w:r>
        <w:t>машино</w:t>
      </w:r>
      <w:proofErr w:type="spellEnd"/>
      <w:r>
        <w:t xml:space="preserve">-мест постоянного хранения могут включаться </w:t>
      </w:r>
      <w:proofErr w:type="spellStart"/>
      <w:r>
        <w:t>машино</w:t>
      </w:r>
      <w:proofErr w:type="spellEnd"/>
      <w:r>
        <w:t>-места на открытых парковках, в паркингах и гаражно-стояночных объектах за пределами участка жилого дома в случаях, не предусмотренных проектом планировки территории, исключительно при получении разрешения на отклонение от предельных параметров разрешенного строительства в радиусе 500 м или пешеходной доступности 800 м от проектируемой жилой застройки.</w:t>
      </w:r>
    </w:p>
    <w:p w:rsidR="007D4BA9" w:rsidRDefault="007D4BA9">
      <w:pPr>
        <w:pStyle w:val="ConsPlusNormal"/>
        <w:spacing w:before="220"/>
        <w:ind w:firstLine="540"/>
        <w:jc w:val="both"/>
      </w:pPr>
      <w:r>
        <w:t>201. Для многоквартирной жилой застройки разрешается предусматривать нормативное количество парковочных мест на существующих муниципальных парковках с требуемым количеством данных мест при условии получения разрешения на отклонение от предельных параметров разрешенного строительства.</w:t>
      </w:r>
    </w:p>
    <w:p w:rsidR="007D4BA9" w:rsidRDefault="007D4BA9">
      <w:pPr>
        <w:pStyle w:val="ConsPlusNormal"/>
        <w:spacing w:before="220"/>
        <w:ind w:firstLine="540"/>
        <w:jc w:val="both"/>
      </w:pPr>
      <w:r>
        <w:t xml:space="preserve">202. Требуемое количество </w:t>
      </w:r>
      <w:proofErr w:type="spellStart"/>
      <w:r>
        <w:t>машино</w:t>
      </w:r>
      <w:proofErr w:type="spellEnd"/>
      <w:r>
        <w:t xml:space="preserve">-мест для сотрудников и посетителей встроенных, пристроенных и встроенно-пристроенных помещений многоквартирных домов составляет одно </w:t>
      </w:r>
      <w:proofErr w:type="spellStart"/>
      <w:r>
        <w:t>машино</w:t>
      </w:r>
      <w:proofErr w:type="spellEnd"/>
      <w:r>
        <w:t>-место на 50 кв. м общей площади таких помещений.</w:t>
      </w:r>
    </w:p>
    <w:p w:rsidR="007D4BA9" w:rsidRDefault="007D4BA9">
      <w:pPr>
        <w:pStyle w:val="ConsPlusNormal"/>
        <w:spacing w:before="220"/>
        <w:ind w:firstLine="540"/>
        <w:jc w:val="both"/>
      </w:pPr>
      <w:r>
        <w:t>203. Исключения составляют объекты шаговой доступности, детские дошкольные учреждения, библиотеки, подростковые клубы, объекты обеспечения внутреннего правопорядка (общественные пункты охраны порядка), поликлиники.</w:t>
      </w:r>
    </w:p>
    <w:p w:rsidR="007D4BA9" w:rsidRDefault="007D4BA9">
      <w:pPr>
        <w:pStyle w:val="ConsPlusNormal"/>
        <w:spacing w:before="220"/>
        <w:ind w:firstLine="540"/>
        <w:jc w:val="both"/>
      </w:pPr>
      <w:r>
        <w:t>204. Для нежилых объектов общественного назначения, расположенных на территориях парков, скверов, набережных и других общественных пространств, имеющих ограничение по доступу автотранспорта посетителей (расположенных в пешеходной зоне общественных пространств), размещение парковочных мест в границах земельного участка не требуется.</w:t>
      </w:r>
    </w:p>
    <w:p w:rsidR="007D4BA9" w:rsidRDefault="007D4BA9">
      <w:pPr>
        <w:pStyle w:val="ConsPlusNormal"/>
        <w:spacing w:before="220"/>
        <w:ind w:firstLine="540"/>
        <w:jc w:val="both"/>
      </w:pPr>
      <w:r>
        <w:t xml:space="preserve">205. В случае размещения на смежных земельных участках нескольких автостоянок, расположенных с разрывами между ними, не превышающими 25 м, расстояние от них до жилых домов и других зданий необходимо принимать с учетом общего количества </w:t>
      </w:r>
      <w:proofErr w:type="spellStart"/>
      <w:r>
        <w:t>машино</w:t>
      </w:r>
      <w:proofErr w:type="spellEnd"/>
      <w:r>
        <w:t>-мест.</w:t>
      </w:r>
    </w:p>
    <w:p w:rsidR="007D4BA9" w:rsidRDefault="007D4BA9">
      <w:pPr>
        <w:pStyle w:val="ConsPlusNormal"/>
        <w:spacing w:before="220"/>
        <w:ind w:firstLine="540"/>
        <w:jc w:val="both"/>
      </w:pPr>
      <w:r>
        <w:t xml:space="preserve">206. При проектировании объекта капитального строительства, в границах земельного участка которого имеются существующие объекты капитального строительства, расчет </w:t>
      </w:r>
      <w:proofErr w:type="spellStart"/>
      <w:r>
        <w:t>машино</w:t>
      </w:r>
      <w:proofErr w:type="spellEnd"/>
      <w:r>
        <w:t xml:space="preserve">-мест необходимо производить с учетом требуемого количества </w:t>
      </w:r>
      <w:proofErr w:type="spellStart"/>
      <w:r>
        <w:t>машино</w:t>
      </w:r>
      <w:proofErr w:type="spellEnd"/>
      <w:r>
        <w:t>-мест для каждого из объектов в зависимости от их функционального назначения.</w:t>
      </w:r>
    </w:p>
    <w:p w:rsidR="007D4BA9" w:rsidRDefault="007D4BA9">
      <w:pPr>
        <w:pStyle w:val="ConsPlusNormal"/>
        <w:spacing w:before="220"/>
        <w:ind w:firstLine="540"/>
        <w:jc w:val="both"/>
      </w:pPr>
      <w:r>
        <w:t>207. По условиям территориальных возможностей, гидрогеологической обстановки, архитектурно-планировочных решений застройки выбираются следующие типы паркингов и гаражно-стояночных объектов:</w:t>
      </w:r>
    </w:p>
    <w:p w:rsidR="007D4BA9" w:rsidRDefault="007D4BA9">
      <w:pPr>
        <w:pStyle w:val="ConsPlusNormal"/>
        <w:spacing w:before="220"/>
        <w:ind w:firstLine="540"/>
        <w:jc w:val="both"/>
      </w:pPr>
      <w:r>
        <w:t>1) автостоянки (площадки открытые или под навесом);</w:t>
      </w:r>
    </w:p>
    <w:p w:rsidR="007D4BA9" w:rsidRDefault="007D4BA9">
      <w:pPr>
        <w:pStyle w:val="ConsPlusNormal"/>
        <w:spacing w:before="220"/>
        <w:ind w:firstLine="540"/>
        <w:jc w:val="both"/>
      </w:pPr>
      <w:r>
        <w:t>2) рамповые, механизированные, автоматизированные гаражи-стоянки, паркинги (наземного, подземного, комбинированного типов), устраиваемые как отдельно стоящие, встроенные, встроенно-пристроенные.</w:t>
      </w:r>
    </w:p>
    <w:p w:rsidR="007D4BA9" w:rsidRDefault="007D4BA9">
      <w:pPr>
        <w:pStyle w:val="ConsPlusNormal"/>
        <w:spacing w:before="220"/>
        <w:ind w:firstLine="540"/>
        <w:jc w:val="both"/>
      </w:pPr>
      <w:r>
        <w:t xml:space="preserve">208. </w:t>
      </w:r>
      <w:proofErr w:type="spellStart"/>
      <w:r>
        <w:t>Приобъектные</w:t>
      </w:r>
      <w:proofErr w:type="spellEnd"/>
      <w:r>
        <w:t xml:space="preserve"> стоянки устраиваются при размещении отдельных объектов различного </w:t>
      </w:r>
      <w:r>
        <w:lastRenderedPageBreak/>
        <w:t>функционального назначения для обслуживания этих объектов (торговых комплексов, объектов приложения труда, культурно-развлекательных центров).</w:t>
      </w:r>
    </w:p>
    <w:p w:rsidR="007D4BA9" w:rsidRDefault="007D4BA9">
      <w:pPr>
        <w:pStyle w:val="ConsPlusNormal"/>
        <w:spacing w:before="220"/>
        <w:ind w:firstLine="540"/>
        <w:jc w:val="both"/>
      </w:pPr>
      <w:r>
        <w:t xml:space="preserve">209. Требуемое количество </w:t>
      </w:r>
      <w:proofErr w:type="spellStart"/>
      <w:r>
        <w:t>машино</w:t>
      </w:r>
      <w:proofErr w:type="spellEnd"/>
      <w:r>
        <w:t xml:space="preserve">-мест для обслуживания отдельно стоящих объектов различного функционального назначения определяется в соответствии с </w:t>
      </w:r>
      <w:hyperlink w:anchor="P1716">
        <w:r>
          <w:rPr>
            <w:color w:val="0000FF"/>
          </w:rPr>
          <w:t>таблицей 21</w:t>
        </w:r>
      </w:hyperlink>
      <w:r>
        <w:t>.</w:t>
      </w:r>
    </w:p>
    <w:p w:rsidR="007D4BA9" w:rsidRDefault="007D4BA9">
      <w:pPr>
        <w:pStyle w:val="ConsPlusNormal"/>
        <w:spacing w:before="220"/>
        <w:ind w:firstLine="540"/>
        <w:jc w:val="both"/>
      </w:pPr>
      <w:r>
        <w:t xml:space="preserve">210. </w:t>
      </w:r>
      <w:proofErr w:type="spellStart"/>
      <w:r>
        <w:t>Приобъектные</w:t>
      </w:r>
      <w:proofErr w:type="spellEnd"/>
      <w:r>
        <w:t xml:space="preserve"> стоянки необходимо размещать в пределах земельных участков, отведенных под обслуживаемый объект.</w:t>
      </w:r>
    </w:p>
    <w:p w:rsidR="007D4BA9" w:rsidRDefault="007D4BA9">
      <w:pPr>
        <w:pStyle w:val="ConsPlusNormal"/>
        <w:spacing w:before="220"/>
        <w:ind w:firstLine="540"/>
        <w:jc w:val="both"/>
      </w:pPr>
      <w:r>
        <w:t>211. Кооперированные стоянки целесообразно располагать для обслуживания групп объектов, находящихся на территориях с высокой концентрацией объектов различного функционального назначения, имеющих разное время пиковых нагрузок.</w:t>
      </w:r>
    </w:p>
    <w:p w:rsidR="007D4BA9" w:rsidRDefault="007D4BA9">
      <w:pPr>
        <w:pStyle w:val="ConsPlusNormal"/>
        <w:spacing w:before="220"/>
        <w:ind w:firstLine="540"/>
        <w:jc w:val="both"/>
      </w:pPr>
      <w:r>
        <w:t>212. Гаражи ведомственных автомобилей и легковых автомобилей специального назначения, грузовых автомобилей, такси необходимо размещать в производственных и коммунально-складских зонах.</w:t>
      </w:r>
    </w:p>
    <w:p w:rsidR="007D4BA9" w:rsidRDefault="007D4BA9">
      <w:pPr>
        <w:pStyle w:val="ConsPlusNormal"/>
        <w:spacing w:before="220"/>
        <w:ind w:firstLine="540"/>
        <w:jc w:val="both"/>
      </w:pPr>
      <w:r>
        <w:t xml:space="preserve">213. Плотность местной уличной сети определяется размерами </w:t>
      </w:r>
      <w:proofErr w:type="gramStart"/>
      <w:r>
        <w:t>микрорайонов  застройки</w:t>
      </w:r>
      <w:proofErr w:type="gramEnd"/>
      <w:r>
        <w:t xml:space="preserve"> и должна быть увязана с плотностью застройки и доступностью объектов транспортной инфраструктуры, обеспечивающих нормативное время передвижений по территории города.</w:t>
      </w:r>
    </w:p>
    <w:p w:rsidR="007D4BA9" w:rsidRDefault="007D4BA9">
      <w:pPr>
        <w:pStyle w:val="ConsPlusNormal"/>
        <w:jc w:val="both"/>
      </w:pPr>
    </w:p>
    <w:p w:rsidR="007D4BA9" w:rsidRDefault="007D4BA9">
      <w:pPr>
        <w:pStyle w:val="ConsPlusNormal"/>
        <w:jc w:val="right"/>
        <w:outlineLvl w:val="3"/>
      </w:pPr>
      <w:r>
        <w:t>Таблица 21</w:t>
      </w:r>
    </w:p>
    <w:p w:rsidR="007D4BA9" w:rsidRDefault="007D4BA9">
      <w:pPr>
        <w:pStyle w:val="ConsPlusNormal"/>
        <w:jc w:val="both"/>
      </w:pPr>
    </w:p>
    <w:p w:rsidR="007D4BA9" w:rsidRDefault="007D4BA9">
      <w:pPr>
        <w:pStyle w:val="ConsPlusTitle"/>
        <w:jc w:val="center"/>
      </w:pPr>
      <w:bookmarkStart w:id="30" w:name="P1716"/>
      <w:bookmarkEnd w:id="30"/>
      <w:r>
        <w:t xml:space="preserve">Требуемое количество </w:t>
      </w:r>
      <w:proofErr w:type="spellStart"/>
      <w:r>
        <w:t>машино</w:t>
      </w:r>
      <w:proofErr w:type="spellEnd"/>
      <w:r>
        <w:t>-мест для обслуживания отдельно</w:t>
      </w:r>
    </w:p>
    <w:p w:rsidR="007D4BA9" w:rsidRDefault="007D4BA9">
      <w:pPr>
        <w:pStyle w:val="ConsPlusTitle"/>
        <w:jc w:val="center"/>
      </w:pPr>
      <w:r>
        <w:t>стоящих объектов различного функционального назначения</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649"/>
        <w:gridCol w:w="2269"/>
        <w:gridCol w:w="2154"/>
      </w:tblGrid>
      <w:tr w:rsidR="007D4BA9">
        <w:tc>
          <w:tcPr>
            <w:tcW w:w="4649" w:type="dxa"/>
            <w:vAlign w:val="center"/>
          </w:tcPr>
          <w:p w:rsidR="007D4BA9" w:rsidRDefault="007D4BA9">
            <w:pPr>
              <w:pStyle w:val="ConsPlusNormal"/>
              <w:jc w:val="center"/>
            </w:pPr>
            <w:r>
              <w:t>Объект</w:t>
            </w:r>
          </w:p>
        </w:tc>
        <w:tc>
          <w:tcPr>
            <w:tcW w:w="2269" w:type="dxa"/>
            <w:vAlign w:val="center"/>
          </w:tcPr>
          <w:p w:rsidR="007D4BA9" w:rsidRDefault="007D4BA9">
            <w:pPr>
              <w:pStyle w:val="ConsPlusNormal"/>
              <w:jc w:val="center"/>
            </w:pPr>
            <w:r>
              <w:t>Расчетная единица</w:t>
            </w:r>
          </w:p>
        </w:tc>
        <w:tc>
          <w:tcPr>
            <w:tcW w:w="2154" w:type="dxa"/>
            <w:vAlign w:val="center"/>
          </w:tcPr>
          <w:p w:rsidR="007D4BA9" w:rsidRDefault="007D4BA9">
            <w:pPr>
              <w:pStyle w:val="ConsPlusNormal"/>
              <w:jc w:val="center"/>
            </w:pPr>
            <w:r>
              <w:t xml:space="preserve">Предусматривается 1 </w:t>
            </w:r>
            <w:proofErr w:type="spellStart"/>
            <w:r>
              <w:t>машино</w:t>
            </w:r>
            <w:proofErr w:type="spellEnd"/>
            <w:r>
              <w:t xml:space="preserve">-место на следующее количество расчетных единиц </w:t>
            </w:r>
            <w:hyperlink w:anchor="P1844">
              <w:r>
                <w:rPr>
                  <w:color w:val="0000FF"/>
                </w:rPr>
                <w:t>&lt;*&gt;</w:t>
              </w:r>
            </w:hyperlink>
          </w:p>
        </w:tc>
      </w:tr>
      <w:tr w:rsidR="007D4BA9">
        <w:tc>
          <w:tcPr>
            <w:tcW w:w="9072" w:type="dxa"/>
            <w:gridSpan w:val="3"/>
            <w:vAlign w:val="center"/>
          </w:tcPr>
          <w:p w:rsidR="007D4BA9" w:rsidRDefault="007D4BA9">
            <w:pPr>
              <w:pStyle w:val="ConsPlusNormal"/>
              <w:jc w:val="center"/>
              <w:outlineLvl w:val="3"/>
            </w:pPr>
            <w:r>
              <w:t>Объекты учебно-образовательного назначения</w:t>
            </w:r>
          </w:p>
        </w:tc>
      </w:tr>
      <w:tr w:rsidR="007D4BA9">
        <w:tc>
          <w:tcPr>
            <w:tcW w:w="4649" w:type="dxa"/>
            <w:vAlign w:val="center"/>
          </w:tcPr>
          <w:p w:rsidR="007D4BA9" w:rsidRDefault="007D4BA9">
            <w:pPr>
              <w:pStyle w:val="ConsPlusNormal"/>
              <w:jc w:val="both"/>
            </w:pPr>
            <w:r>
              <w:t>Высшие учебные заведения</w:t>
            </w:r>
          </w:p>
        </w:tc>
        <w:tc>
          <w:tcPr>
            <w:tcW w:w="2269" w:type="dxa"/>
            <w:vAlign w:val="center"/>
          </w:tcPr>
          <w:p w:rsidR="007D4BA9" w:rsidRDefault="007D4BA9">
            <w:pPr>
              <w:pStyle w:val="ConsPlusNormal"/>
            </w:pPr>
            <w:r>
              <w:t>Преподавателей + студентов</w:t>
            </w:r>
          </w:p>
        </w:tc>
        <w:tc>
          <w:tcPr>
            <w:tcW w:w="2154" w:type="dxa"/>
            <w:vAlign w:val="center"/>
          </w:tcPr>
          <w:p w:rsidR="007D4BA9" w:rsidRDefault="007D4BA9">
            <w:pPr>
              <w:pStyle w:val="ConsPlusNormal"/>
              <w:jc w:val="center"/>
            </w:pPr>
            <w:r>
              <w:t>4 + 20</w:t>
            </w:r>
          </w:p>
        </w:tc>
      </w:tr>
      <w:tr w:rsidR="007D4BA9">
        <w:tc>
          <w:tcPr>
            <w:tcW w:w="4649" w:type="dxa"/>
            <w:vAlign w:val="center"/>
          </w:tcPr>
          <w:p w:rsidR="007D4BA9" w:rsidRDefault="007D4BA9">
            <w:pPr>
              <w:pStyle w:val="ConsPlusNormal"/>
              <w:jc w:val="both"/>
            </w:pPr>
            <w:r>
              <w:t>Средние профессиональные учебные заведения</w:t>
            </w:r>
          </w:p>
        </w:tc>
        <w:tc>
          <w:tcPr>
            <w:tcW w:w="2269" w:type="dxa"/>
            <w:vAlign w:val="center"/>
          </w:tcPr>
          <w:p w:rsidR="007D4BA9" w:rsidRDefault="007D4BA9">
            <w:pPr>
              <w:pStyle w:val="ConsPlusNormal"/>
            </w:pPr>
            <w:r>
              <w:t>Преподавателей + студентов</w:t>
            </w:r>
          </w:p>
        </w:tc>
        <w:tc>
          <w:tcPr>
            <w:tcW w:w="2154" w:type="dxa"/>
            <w:vAlign w:val="center"/>
          </w:tcPr>
          <w:p w:rsidR="007D4BA9" w:rsidRDefault="007D4BA9">
            <w:pPr>
              <w:pStyle w:val="ConsPlusNormal"/>
              <w:jc w:val="center"/>
            </w:pPr>
            <w:r>
              <w:t>4 + 20</w:t>
            </w:r>
          </w:p>
        </w:tc>
      </w:tr>
      <w:tr w:rsidR="007D4BA9">
        <w:tc>
          <w:tcPr>
            <w:tcW w:w="4649" w:type="dxa"/>
            <w:tcBorders>
              <w:bottom w:val="nil"/>
            </w:tcBorders>
            <w:vAlign w:val="center"/>
          </w:tcPr>
          <w:p w:rsidR="007D4BA9" w:rsidRDefault="007D4BA9">
            <w:pPr>
              <w:pStyle w:val="ConsPlusNormal"/>
              <w:jc w:val="both"/>
            </w:pPr>
            <w:r>
              <w:t>Дошкольные образовательные организации</w:t>
            </w:r>
          </w:p>
        </w:tc>
        <w:tc>
          <w:tcPr>
            <w:tcW w:w="2269" w:type="dxa"/>
            <w:vMerge w:val="restart"/>
            <w:vAlign w:val="center"/>
          </w:tcPr>
          <w:p w:rsidR="007D4BA9" w:rsidRDefault="007D4BA9">
            <w:pPr>
              <w:pStyle w:val="ConsPlusNormal"/>
            </w:pPr>
            <w:r>
              <w:t>Работающих</w:t>
            </w:r>
          </w:p>
        </w:tc>
        <w:tc>
          <w:tcPr>
            <w:tcW w:w="2154" w:type="dxa"/>
            <w:vMerge w:val="restart"/>
            <w:vAlign w:val="center"/>
          </w:tcPr>
          <w:p w:rsidR="007D4BA9" w:rsidRDefault="007D4BA9">
            <w:pPr>
              <w:pStyle w:val="ConsPlusNormal"/>
              <w:jc w:val="center"/>
            </w:pPr>
            <w:r>
              <w:t>7</w:t>
            </w:r>
          </w:p>
        </w:tc>
      </w:tr>
      <w:tr w:rsidR="007D4BA9">
        <w:tc>
          <w:tcPr>
            <w:tcW w:w="4649" w:type="dxa"/>
            <w:tcBorders>
              <w:top w:val="nil"/>
            </w:tcBorders>
            <w:vAlign w:val="center"/>
          </w:tcPr>
          <w:p w:rsidR="007D4BA9" w:rsidRDefault="007D4BA9">
            <w:pPr>
              <w:pStyle w:val="ConsPlusNormal"/>
              <w:jc w:val="both"/>
            </w:pPr>
            <w:r>
              <w:t>Объекты дополнительного образования детей городского значения</w:t>
            </w:r>
          </w:p>
        </w:tc>
        <w:tc>
          <w:tcPr>
            <w:tcW w:w="2269" w:type="dxa"/>
            <w:vMerge/>
          </w:tcPr>
          <w:p w:rsidR="007D4BA9" w:rsidRDefault="007D4BA9">
            <w:pPr>
              <w:pStyle w:val="ConsPlusNormal"/>
            </w:pPr>
          </w:p>
        </w:tc>
        <w:tc>
          <w:tcPr>
            <w:tcW w:w="2154" w:type="dxa"/>
            <w:vMerge/>
          </w:tcPr>
          <w:p w:rsidR="007D4BA9" w:rsidRDefault="007D4BA9">
            <w:pPr>
              <w:pStyle w:val="ConsPlusNormal"/>
            </w:pPr>
          </w:p>
        </w:tc>
      </w:tr>
      <w:tr w:rsidR="007D4BA9">
        <w:tc>
          <w:tcPr>
            <w:tcW w:w="4649" w:type="dxa"/>
            <w:vAlign w:val="center"/>
          </w:tcPr>
          <w:p w:rsidR="007D4BA9" w:rsidRDefault="007D4BA9">
            <w:pPr>
              <w:pStyle w:val="ConsPlusNormal"/>
              <w:jc w:val="both"/>
            </w:pPr>
            <w:r>
              <w:t>Общеобразовательные школы</w:t>
            </w:r>
          </w:p>
        </w:tc>
        <w:tc>
          <w:tcPr>
            <w:tcW w:w="2269" w:type="dxa"/>
            <w:vAlign w:val="center"/>
          </w:tcPr>
          <w:p w:rsidR="007D4BA9" w:rsidRDefault="007D4BA9">
            <w:pPr>
              <w:pStyle w:val="ConsPlusNormal"/>
            </w:pPr>
            <w:r>
              <w:t>Работающих</w:t>
            </w:r>
          </w:p>
        </w:tc>
        <w:tc>
          <w:tcPr>
            <w:tcW w:w="2154" w:type="dxa"/>
            <w:vAlign w:val="center"/>
          </w:tcPr>
          <w:p w:rsidR="007D4BA9" w:rsidRDefault="007D4BA9">
            <w:pPr>
              <w:pStyle w:val="ConsPlusNormal"/>
              <w:jc w:val="center"/>
            </w:pPr>
            <w:r>
              <w:t>5</w:t>
            </w:r>
          </w:p>
        </w:tc>
      </w:tr>
      <w:tr w:rsidR="007D4BA9">
        <w:tc>
          <w:tcPr>
            <w:tcW w:w="9072" w:type="dxa"/>
            <w:gridSpan w:val="3"/>
            <w:vAlign w:val="center"/>
          </w:tcPr>
          <w:p w:rsidR="007D4BA9" w:rsidRDefault="007D4BA9">
            <w:pPr>
              <w:pStyle w:val="ConsPlusNormal"/>
              <w:jc w:val="center"/>
              <w:outlineLvl w:val="3"/>
            </w:pPr>
            <w:r>
              <w:t>Объекты административно-делового назначения</w:t>
            </w:r>
          </w:p>
        </w:tc>
      </w:tr>
      <w:tr w:rsidR="007D4BA9">
        <w:tc>
          <w:tcPr>
            <w:tcW w:w="4649" w:type="dxa"/>
            <w:vAlign w:val="center"/>
          </w:tcPr>
          <w:p w:rsidR="007D4BA9" w:rsidRDefault="007D4BA9">
            <w:pPr>
              <w:pStyle w:val="ConsPlusNormal"/>
              <w:jc w:val="both"/>
            </w:pPr>
            <w:r>
              <w:t>Учреждения управления</w:t>
            </w:r>
          </w:p>
        </w:tc>
        <w:tc>
          <w:tcPr>
            <w:tcW w:w="2269" w:type="dxa"/>
            <w:vAlign w:val="center"/>
          </w:tcPr>
          <w:p w:rsidR="007D4BA9" w:rsidRDefault="007D4BA9">
            <w:pPr>
              <w:pStyle w:val="ConsPlusNormal"/>
            </w:pPr>
            <w:r>
              <w:t>кв. м общей площади</w:t>
            </w:r>
          </w:p>
        </w:tc>
        <w:tc>
          <w:tcPr>
            <w:tcW w:w="2154" w:type="dxa"/>
            <w:vAlign w:val="center"/>
          </w:tcPr>
          <w:p w:rsidR="007D4BA9" w:rsidRDefault="007D4BA9">
            <w:pPr>
              <w:pStyle w:val="ConsPlusNormal"/>
              <w:jc w:val="center"/>
            </w:pPr>
            <w:r>
              <w:t>100</w:t>
            </w:r>
          </w:p>
        </w:tc>
      </w:tr>
      <w:tr w:rsidR="007D4BA9">
        <w:tc>
          <w:tcPr>
            <w:tcW w:w="4649" w:type="dxa"/>
            <w:vAlign w:val="center"/>
          </w:tcPr>
          <w:p w:rsidR="007D4BA9" w:rsidRDefault="007D4BA9">
            <w:pPr>
              <w:pStyle w:val="ConsPlusNormal"/>
              <w:jc w:val="both"/>
            </w:pPr>
            <w:r>
              <w:t>Коммерческие деловые центры, офисные здания и помещения</w:t>
            </w:r>
          </w:p>
        </w:tc>
        <w:tc>
          <w:tcPr>
            <w:tcW w:w="2269" w:type="dxa"/>
            <w:vAlign w:val="center"/>
          </w:tcPr>
          <w:p w:rsidR="007D4BA9" w:rsidRDefault="007D4BA9">
            <w:pPr>
              <w:pStyle w:val="ConsPlusNormal"/>
            </w:pPr>
            <w:r>
              <w:t>кв. м общей площади</w:t>
            </w:r>
          </w:p>
        </w:tc>
        <w:tc>
          <w:tcPr>
            <w:tcW w:w="2154" w:type="dxa"/>
            <w:vAlign w:val="center"/>
          </w:tcPr>
          <w:p w:rsidR="007D4BA9" w:rsidRDefault="007D4BA9">
            <w:pPr>
              <w:pStyle w:val="ConsPlusNormal"/>
              <w:jc w:val="center"/>
            </w:pPr>
            <w:r>
              <w:t>50</w:t>
            </w:r>
          </w:p>
        </w:tc>
      </w:tr>
      <w:tr w:rsidR="007D4BA9">
        <w:tc>
          <w:tcPr>
            <w:tcW w:w="4649" w:type="dxa"/>
            <w:vAlign w:val="center"/>
          </w:tcPr>
          <w:p w:rsidR="007D4BA9" w:rsidRDefault="007D4BA9">
            <w:pPr>
              <w:pStyle w:val="ConsPlusNormal"/>
              <w:jc w:val="both"/>
            </w:pPr>
            <w:r>
              <w:t xml:space="preserve">Банки и банковские учреждения (с </w:t>
            </w:r>
            <w:r>
              <w:lastRenderedPageBreak/>
              <w:t>операционным залом/без него)</w:t>
            </w:r>
          </w:p>
        </w:tc>
        <w:tc>
          <w:tcPr>
            <w:tcW w:w="2269" w:type="dxa"/>
            <w:vAlign w:val="center"/>
          </w:tcPr>
          <w:p w:rsidR="007D4BA9" w:rsidRDefault="007D4BA9">
            <w:pPr>
              <w:pStyle w:val="ConsPlusNormal"/>
            </w:pPr>
            <w:r>
              <w:lastRenderedPageBreak/>
              <w:t>кв. м общей площади</w:t>
            </w:r>
          </w:p>
        </w:tc>
        <w:tc>
          <w:tcPr>
            <w:tcW w:w="2154" w:type="dxa"/>
            <w:vAlign w:val="center"/>
          </w:tcPr>
          <w:p w:rsidR="007D4BA9" w:rsidRDefault="007D4BA9">
            <w:pPr>
              <w:pStyle w:val="ConsPlusNormal"/>
              <w:jc w:val="center"/>
            </w:pPr>
            <w:r>
              <w:t>30/65</w:t>
            </w:r>
          </w:p>
        </w:tc>
      </w:tr>
      <w:tr w:rsidR="007D4BA9">
        <w:tc>
          <w:tcPr>
            <w:tcW w:w="4649" w:type="dxa"/>
            <w:vAlign w:val="center"/>
          </w:tcPr>
          <w:p w:rsidR="007D4BA9" w:rsidRDefault="007D4BA9">
            <w:pPr>
              <w:pStyle w:val="ConsPlusNormal"/>
              <w:jc w:val="both"/>
            </w:pPr>
            <w:r>
              <w:lastRenderedPageBreak/>
              <w:t>Научно-исследовательские и проектные институты, лаборатории</w:t>
            </w:r>
          </w:p>
        </w:tc>
        <w:tc>
          <w:tcPr>
            <w:tcW w:w="2269" w:type="dxa"/>
            <w:vAlign w:val="center"/>
          </w:tcPr>
          <w:p w:rsidR="007D4BA9" w:rsidRDefault="007D4BA9">
            <w:pPr>
              <w:pStyle w:val="ConsPlusNormal"/>
            </w:pPr>
            <w:r>
              <w:t>кв. м общей площади</w:t>
            </w:r>
          </w:p>
        </w:tc>
        <w:tc>
          <w:tcPr>
            <w:tcW w:w="2154" w:type="dxa"/>
            <w:vAlign w:val="center"/>
          </w:tcPr>
          <w:p w:rsidR="007D4BA9" w:rsidRDefault="007D4BA9">
            <w:pPr>
              <w:pStyle w:val="ConsPlusNormal"/>
              <w:jc w:val="center"/>
            </w:pPr>
            <w:r>
              <w:t>150</w:t>
            </w:r>
          </w:p>
        </w:tc>
      </w:tr>
      <w:tr w:rsidR="007D4BA9">
        <w:tc>
          <w:tcPr>
            <w:tcW w:w="9072" w:type="dxa"/>
            <w:gridSpan w:val="3"/>
            <w:vAlign w:val="center"/>
          </w:tcPr>
          <w:p w:rsidR="007D4BA9" w:rsidRDefault="007D4BA9">
            <w:pPr>
              <w:pStyle w:val="ConsPlusNormal"/>
              <w:jc w:val="center"/>
              <w:outlineLvl w:val="3"/>
            </w:pPr>
            <w:r>
              <w:t>Объекты здравоохранения, спорта, рекреации, досуга</w:t>
            </w:r>
          </w:p>
        </w:tc>
      </w:tr>
      <w:tr w:rsidR="007D4BA9">
        <w:tc>
          <w:tcPr>
            <w:tcW w:w="4649" w:type="dxa"/>
            <w:vAlign w:val="center"/>
          </w:tcPr>
          <w:p w:rsidR="007D4BA9" w:rsidRDefault="007D4BA9">
            <w:pPr>
              <w:pStyle w:val="ConsPlusNormal"/>
              <w:jc w:val="both"/>
            </w:pPr>
            <w:r>
              <w:t>Больницы, профилактории</w:t>
            </w:r>
          </w:p>
        </w:tc>
        <w:tc>
          <w:tcPr>
            <w:tcW w:w="2269" w:type="dxa"/>
            <w:vAlign w:val="center"/>
          </w:tcPr>
          <w:p w:rsidR="007D4BA9" w:rsidRDefault="007D4BA9">
            <w:pPr>
              <w:pStyle w:val="ConsPlusNormal"/>
            </w:pPr>
            <w:r>
              <w:t>Работающих + койко-мест</w:t>
            </w:r>
          </w:p>
        </w:tc>
        <w:tc>
          <w:tcPr>
            <w:tcW w:w="2154" w:type="dxa"/>
            <w:vAlign w:val="center"/>
          </w:tcPr>
          <w:p w:rsidR="007D4BA9" w:rsidRDefault="007D4BA9">
            <w:pPr>
              <w:pStyle w:val="ConsPlusNormal"/>
              <w:jc w:val="center"/>
            </w:pPr>
            <w:r>
              <w:t>5 + 10</w:t>
            </w:r>
          </w:p>
        </w:tc>
      </w:tr>
      <w:tr w:rsidR="007D4BA9">
        <w:tc>
          <w:tcPr>
            <w:tcW w:w="4649" w:type="dxa"/>
            <w:vAlign w:val="center"/>
          </w:tcPr>
          <w:p w:rsidR="007D4BA9" w:rsidRDefault="007D4BA9">
            <w:pPr>
              <w:pStyle w:val="ConsPlusNormal"/>
              <w:jc w:val="both"/>
            </w:pPr>
            <w:r>
              <w:t>Поликлиники</w:t>
            </w:r>
          </w:p>
        </w:tc>
        <w:tc>
          <w:tcPr>
            <w:tcW w:w="2269" w:type="dxa"/>
            <w:vAlign w:val="center"/>
          </w:tcPr>
          <w:p w:rsidR="007D4BA9" w:rsidRDefault="007D4BA9">
            <w:pPr>
              <w:pStyle w:val="ConsPlusNormal"/>
            </w:pPr>
            <w:r>
              <w:t>Работающих + посещений в смену</w:t>
            </w:r>
          </w:p>
        </w:tc>
        <w:tc>
          <w:tcPr>
            <w:tcW w:w="2154" w:type="dxa"/>
            <w:vAlign w:val="center"/>
          </w:tcPr>
          <w:p w:rsidR="007D4BA9" w:rsidRDefault="007D4BA9">
            <w:pPr>
              <w:pStyle w:val="ConsPlusNormal"/>
              <w:jc w:val="center"/>
            </w:pPr>
            <w:r>
              <w:t>5 + 50</w:t>
            </w:r>
          </w:p>
        </w:tc>
      </w:tr>
      <w:tr w:rsidR="007D4BA9">
        <w:tblPrEx>
          <w:tblBorders>
            <w:insideH w:val="nil"/>
          </w:tblBorders>
        </w:tblPrEx>
        <w:tc>
          <w:tcPr>
            <w:tcW w:w="4649" w:type="dxa"/>
            <w:tcBorders>
              <w:bottom w:val="nil"/>
            </w:tcBorders>
            <w:vAlign w:val="center"/>
          </w:tcPr>
          <w:p w:rsidR="007D4BA9" w:rsidRDefault="007D4BA9">
            <w:pPr>
              <w:pStyle w:val="ConsPlusNormal"/>
              <w:jc w:val="both"/>
            </w:pPr>
            <w:r>
              <w:t>Ветеринарные клиники:</w:t>
            </w:r>
          </w:p>
        </w:tc>
        <w:tc>
          <w:tcPr>
            <w:tcW w:w="2269" w:type="dxa"/>
            <w:tcBorders>
              <w:bottom w:val="nil"/>
            </w:tcBorders>
            <w:vAlign w:val="center"/>
          </w:tcPr>
          <w:p w:rsidR="007D4BA9" w:rsidRDefault="007D4BA9">
            <w:pPr>
              <w:pStyle w:val="ConsPlusNormal"/>
            </w:pPr>
          </w:p>
        </w:tc>
        <w:tc>
          <w:tcPr>
            <w:tcW w:w="2154" w:type="dxa"/>
            <w:tcBorders>
              <w:bottom w:val="nil"/>
            </w:tcBorders>
            <w:vAlign w:val="center"/>
          </w:tcPr>
          <w:p w:rsidR="007D4BA9" w:rsidRDefault="007D4BA9">
            <w:pPr>
              <w:pStyle w:val="ConsPlusNormal"/>
            </w:pPr>
          </w:p>
        </w:tc>
      </w:tr>
      <w:tr w:rsidR="007D4BA9">
        <w:tblPrEx>
          <w:tblBorders>
            <w:insideH w:val="nil"/>
          </w:tblBorders>
        </w:tblPrEx>
        <w:tc>
          <w:tcPr>
            <w:tcW w:w="4649" w:type="dxa"/>
            <w:tcBorders>
              <w:top w:val="nil"/>
              <w:bottom w:val="nil"/>
            </w:tcBorders>
            <w:vAlign w:val="center"/>
          </w:tcPr>
          <w:p w:rsidR="007D4BA9" w:rsidRDefault="007D4BA9">
            <w:pPr>
              <w:pStyle w:val="ConsPlusNormal"/>
              <w:jc w:val="both"/>
            </w:pPr>
            <w:r>
              <w:t>- с 1 ветеринарным врачом;</w:t>
            </w:r>
          </w:p>
        </w:tc>
        <w:tc>
          <w:tcPr>
            <w:tcW w:w="2269" w:type="dxa"/>
            <w:tcBorders>
              <w:top w:val="nil"/>
              <w:bottom w:val="nil"/>
            </w:tcBorders>
            <w:vAlign w:val="center"/>
          </w:tcPr>
          <w:p w:rsidR="007D4BA9" w:rsidRDefault="007D4BA9">
            <w:pPr>
              <w:pStyle w:val="ConsPlusNormal"/>
            </w:pPr>
            <w:r>
              <w:t>Единовременных посетителей</w:t>
            </w:r>
          </w:p>
        </w:tc>
        <w:tc>
          <w:tcPr>
            <w:tcW w:w="2154" w:type="dxa"/>
            <w:tcBorders>
              <w:top w:val="nil"/>
              <w:bottom w:val="nil"/>
            </w:tcBorders>
            <w:vAlign w:val="center"/>
          </w:tcPr>
          <w:p w:rsidR="007D4BA9" w:rsidRDefault="007D4BA9">
            <w:pPr>
              <w:pStyle w:val="ConsPlusNormal"/>
              <w:jc w:val="center"/>
            </w:pPr>
            <w:r>
              <w:t>7</w:t>
            </w:r>
          </w:p>
        </w:tc>
      </w:tr>
      <w:tr w:rsidR="007D4BA9">
        <w:tblPrEx>
          <w:tblBorders>
            <w:insideH w:val="nil"/>
          </w:tblBorders>
        </w:tblPrEx>
        <w:tc>
          <w:tcPr>
            <w:tcW w:w="4649" w:type="dxa"/>
            <w:tcBorders>
              <w:top w:val="nil"/>
            </w:tcBorders>
            <w:vAlign w:val="center"/>
          </w:tcPr>
          <w:p w:rsidR="007D4BA9" w:rsidRDefault="007D4BA9">
            <w:pPr>
              <w:pStyle w:val="ConsPlusNormal"/>
              <w:jc w:val="both"/>
            </w:pPr>
            <w:r>
              <w:t>- с 2 и более ветеринарными врачами</w:t>
            </w:r>
          </w:p>
        </w:tc>
        <w:tc>
          <w:tcPr>
            <w:tcW w:w="2269" w:type="dxa"/>
            <w:tcBorders>
              <w:top w:val="nil"/>
            </w:tcBorders>
            <w:vAlign w:val="center"/>
          </w:tcPr>
          <w:p w:rsidR="007D4BA9" w:rsidRDefault="007D4BA9">
            <w:pPr>
              <w:pStyle w:val="ConsPlusNormal"/>
            </w:pPr>
          </w:p>
        </w:tc>
        <w:tc>
          <w:tcPr>
            <w:tcW w:w="2154" w:type="dxa"/>
            <w:tcBorders>
              <w:top w:val="nil"/>
            </w:tcBorders>
            <w:vAlign w:val="center"/>
          </w:tcPr>
          <w:p w:rsidR="007D4BA9" w:rsidRDefault="007D4BA9">
            <w:pPr>
              <w:pStyle w:val="ConsPlusNormal"/>
              <w:jc w:val="center"/>
            </w:pPr>
            <w:r>
              <w:t>4</w:t>
            </w:r>
          </w:p>
        </w:tc>
      </w:tr>
      <w:tr w:rsidR="007D4BA9">
        <w:tc>
          <w:tcPr>
            <w:tcW w:w="4649" w:type="dxa"/>
            <w:vAlign w:val="center"/>
          </w:tcPr>
          <w:p w:rsidR="007D4BA9" w:rsidRDefault="007D4BA9">
            <w:pPr>
              <w:pStyle w:val="ConsPlusNormal"/>
              <w:jc w:val="both"/>
            </w:pPr>
            <w:r>
              <w:t>Оздоровительные комплексы (фитнес-клубы, физкультурно-оздоровительные комплексы, спортивные и тренажерные залы, бассейны)</w:t>
            </w:r>
          </w:p>
        </w:tc>
        <w:tc>
          <w:tcPr>
            <w:tcW w:w="2269" w:type="dxa"/>
            <w:vAlign w:val="center"/>
          </w:tcPr>
          <w:p w:rsidR="007D4BA9" w:rsidRDefault="007D4BA9">
            <w:pPr>
              <w:pStyle w:val="ConsPlusNormal"/>
            </w:pPr>
            <w:r>
              <w:t>кв. м общей площади</w:t>
            </w:r>
          </w:p>
        </w:tc>
        <w:tc>
          <w:tcPr>
            <w:tcW w:w="2154" w:type="dxa"/>
            <w:vAlign w:val="center"/>
          </w:tcPr>
          <w:p w:rsidR="007D4BA9" w:rsidRDefault="007D4BA9">
            <w:pPr>
              <w:pStyle w:val="ConsPlusNormal"/>
              <w:jc w:val="center"/>
            </w:pPr>
            <w:r>
              <w:t>25</w:t>
            </w:r>
          </w:p>
        </w:tc>
      </w:tr>
      <w:tr w:rsidR="007D4BA9">
        <w:tc>
          <w:tcPr>
            <w:tcW w:w="4649" w:type="dxa"/>
            <w:vAlign w:val="center"/>
          </w:tcPr>
          <w:p w:rsidR="007D4BA9" w:rsidRDefault="007D4BA9">
            <w:pPr>
              <w:pStyle w:val="ConsPlusNormal"/>
              <w:jc w:val="both"/>
            </w:pPr>
            <w:r>
              <w:t>Спортивные комплексы и стадионы с трибунами</w:t>
            </w:r>
          </w:p>
        </w:tc>
        <w:tc>
          <w:tcPr>
            <w:tcW w:w="2269" w:type="dxa"/>
            <w:vAlign w:val="center"/>
          </w:tcPr>
          <w:p w:rsidR="007D4BA9" w:rsidRDefault="007D4BA9">
            <w:pPr>
              <w:pStyle w:val="ConsPlusNormal"/>
            </w:pPr>
            <w:r>
              <w:t>Работающих + единовременных посетителей</w:t>
            </w:r>
          </w:p>
        </w:tc>
        <w:tc>
          <w:tcPr>
            <w:tcW w:w="2154" w:type="dxa"/>
            <w:vAlign w:val="center"/>
          </w:tcPr>
          <w:p w:rsidR="007D4BA9" w:rsidRDefault="007D4BA9">
            <w:pPr>
              <w:pStyle w:val="ConsPlusNormal"/>
              <w:jc w:val="center"/>
            </w:pPr>
            <w:r>
              <w:t>5 + 25</w:t>
            </w:r>
          </w:p>
        </w:tc>
      </w:tr>
      <w:tr w:rsidR="007D4BA9">
        <w:tc>
          <w:tcPr>
            <w:tcW w:w="4649" w:type="dxa"/>
            <w:vAlign w:val="center"/>
          </w:tcPr>
          <w:p w:rsidR="007D4BA9" w:rsidRDefault="007D4BA9">
            <w:pPr>
              <w:pStyle w:val="ConsPlusNormal"/>
              <w:jc w:val="both"/>
            </w:pPr>
            <w:r>
              <w:t>Аквапарки, бассейны, катки</w:t>
            </w:r>
          </w:p>
        </w:tc>
        <w:tc>
          <w:tcPr>
            <w:tcW w:w="2269" w:type="dxa"/>
            <w:vAlign w:val="center"/>
          </w:tcPr>
          <w:p w:rsidR="007D4BA9" w:rsidRDefault="007D4BA9">
            <w:pPr>
              <w:pStyle w:val="ConsPlusNormal"/>
            </w:pPr>
            <w:r>
              <w:t>Работающих + единовременных посетителей</w:t>
            </w:r>
          </w:p>
        </w:tc>
        <w:tc>
          <w:tcPr>
            <w:tcW w:w="2154" w:type="dxa"/>
            <w:vAlign w:val="center"/>
          </w:tcPr>
          <w:p w:rsidR="007D4BA9" w:rsidRDefault="007D4BA9">
            <w:pPr>
              <w:pStyle w:val="ConsPlusNormal"/>
              <w:jc w:val="center"/>
            </w:pPr>
            <w:r>
              <w:t>5 + 10</w:t>
            </w:r>
          </w:p>
        </w:tc>
      </w:tr>
      <w:tr w:rsidR="007D4BA9">
        <w:tc>
          <w:tcPr>
            <w:tcW w:w="4649" w:type="dxa"/>
            <w:vAlign w:val="center"/>
          </w:tcPr>
          <w:p w:rsidR="007D4BA9" w:rsidRDefault="007D4BA9">
            <w:pPr>
              <w:pStyle w:val="ConsPlusNormal"/>
              <w:jc w:val="both"/>
            </w:pPr>
            <w:r>
              <w:t>Музеи, выставочные комплексы, галереи</w:t>
            </w:r>
          </w:p>
        </w:tc>
        <w:tc>
          <w:tcPr>
            <w:tcW w:w="2269" w:type="dxa"/>
            <w:vAlign w:val="center"/>
          </w:tcPr>
          <w:p w:rsidR="007D4BA9" w:rsidRDefault="007D4BA9">
            <w:pPr>
              <w:pStyle w:val="ConsPlusNormal"/>
            </w:pPr>
            <w:r>
              <w:t>Единовременных посетителей</w:t>
            </w:r>
          </w:p>
        </w:tc>
        <w:tc>
          <w:tcPr>
            <w:tcW w:w="2154" w:type="dxa"/>
            <w:vAlign w:val="center"/>
          </w:tcPr>
          <w:p w:rsidR="007D4BA9" w:rsidRDefault="007D4BA9">
            <w:pPr>
              <w:pStyle w:val="ConsPlusNormal"/>
              <w:jc w:val="center"/>
            </w:pPr>
            <w:r>
              <w:t>6</w:t>
            </w:r>
          </w:p>
        </w:tc>
      </w:tr>
      <w:tr w:rsidR="007D4BA9">
        <w:tc>
          <w:tcPr>
            <w:tcW w:w="4649" w:type="dxa"/>
            <w:vAlign w:val="center"/>
          </w:tcPr>
          <w:p w:rsidR="007D4BA9" w:rsidRDefault="007D4BA9">
            <w:pPr>
              <w:pStyle w:val="ConsPlusNormal"/>
              <w:jc w:val="both"/>
            </w:pPr>
            <w:r>
              <w:t>Детские досуговые центры</w:t>
            </w:r>
          </w:p>
        </w:tc>
        <w:tc>
          <w:tcPr>
            <w:tcW w:w="2269" w:type="dxa"/>
            <w:vAlign w:val="center"/>
          </w:tcPr>
          <w:p w:rsidR="007D4BA9" w:rsidRDefault="007D4BA9">
            <w:pPr>
              <w:pStyle w:val="ConsPlusNormal"/>
            </w:pPr>
            <w:r>
              <w:t>Работающих</w:t>
            </w:r>
          </w:p>
        </w:tc>
        <w:tc>
          <w:tcPr>
            <w:tcW w:w="2154" w:type="dxa"/>
            <w:vAlign w:val="center"/>
          </w:tcPr>
          <w:p w:rsidR="007D4BA9" w:rsidRDefault="007D4BA9">
            <w:pPr>
              <w:pStyle w:val="ConsPlusNormal"/>
              <w:jc w:val="center"/>
            </w:pPr>
            <w:r>
              <w:t>5</w:t>
            </w:r>
          </w:p>
        </w:tc>
      </w:tr>
      <w:tr w:rsidR="007D4BA9">
        <w:tc>
          <w:tcPr>
            <w:tcW w:w="4649" w:type="dxa"/>
            <w:vAlign w:val="center"/>
          </w:tcPr>
          <w:p w:rsidR="007D4BA9" w:rsidRDefault="007D4BA9">
            <w:pPr>
              <w:pStyle w:val="ConsPlusNormal"/>
              <w:jc w:val="both"/>
            </w:pPr>
            <w:r>
              <w:t>Центры обучения, самодеятельного творчества, клубы по интересам для взрослых</w:t>
            </w:r>
          </w:p>
        </w:tc>
        <w:tc>
          <w:tcPr>
            <w:tcW w:w="2269" w:type="dxa"/>
            <w:vAlign w:val="center"/>
          </w:tcPr>
          <w:p w:rsidR="007D4BA9" w:rsidRDefault="007D4BA9">
            <w:pPr>
              <w:pStyle w:val="ConsPlusNormal"/>
            </w:pPr>
            <w:r>
              <w:t>Работающих + посетителей</w:t>
            </w:r>
          </w:p>
        </w:tc>
        <w:tc>
          <w:tcPr>
            <w:tcW w:w="2154" w:type="dxa"/>
            <w:vAlign w:val="center"/>
          </w:tcPr>
          <w:p w:rsidR="007D4BA9" w:rsidRDefault="007D4BA9">
            <w:pPr>
              <w:pStyle w:val="ConsPlusNormal"/>
              <w:jc w:val="center"/>
            </w:pPr>
            <w:r>
              <w:t>5 + 5</w:t>
            </w:r>
          </w:p>
        </w:tc>
      </w:tr>
      <w:tr w:rsidR="007D4BA9">
        <w:tc>
          <w:tcPr>
            <w:tcW w:w="4649" w:type="dxa"/>
            <w:vAlign w:val="center"/>
          </w:tcPr>
          <w:p w:rsidR="007D4BA9" w:rsidRDefault="007D4BA9">
            <w:pPr>
              <w:pStyle w:val="ConsPlusNormal"/>
              <w:jc w:val="both"/>
            </w:pPr>
            <w:r>
              <w:t>Парки культуры и отдыха</w:t>
            </w:r>
          </w:p>
        </w:tc>
        <w:tc>
          <w:tcPr>
            <w:tcW w:w="2269" w:type="dxa"/>
            <w:vAlign w:val="center"/>
          </w:tcPr>
          <w:p w:rsidR="007D4BA9" w:rsidRDefault="007D4BA9">
            <w:pPr>
              <w:pStyle w:val="ConsPlusNormal"/>
            </w:pPr>
            <w:r>
              <w:t>Единовременных посетителей</w:t>
            </w:r>
          </w:p>
        </w:tc>
        <w:tc>
          <w:tcPr>
            <w:tcW w:w="2154" w:type="dxa"/>
            <w:vAlign w:val="center"/>
          </w:tcPr>
          <w:p w:rsidR="007D4BA9" w:rsidRDefault="007D4BA9">
            <w:pPr>
              <w:pStyle w:val="ConsPlusNormal"/>
              <w:jc w:val="center"/>
            </w:pPr>
            <w:r>
              <w:t>20</w:t>
            </w:r>
          </w:p>
        </w:tc>
      </w:tr>
      <w:tr w:rsidR="007D4BA9">
        <w:tc>
          <w:tcPr>
            <w:tcW w:w="4649" w:type="dxa"/>
            <w:vAlign w:val="center"/>
          </w:tcPr>
          <w:p w:rsidR="007D4BA9" w:rsidRDefault="007D4BA9">
            <w:pPr>
              <w:pStyle w:val="ConsPlusNormal"/>
              <w:jc w:val="both"/>
            </w:pPr>
            <w:r>
              <w:t>Банно-оздоровительные комплексы</w:t>
            </w:r>
          </w:p>
        </w:tc>
        <w:tc>
          <w:tcPr>
            <w:tcW w:w="2269" w:type="dxa"/>
            <w:vAlign w:val="center"/>
          </w:tcPr>
          <w:p w:rsidR="007D4BA9" w:rsidRDefault="007D4BA9">
            <w:pPr>
              <w:pStyle w:val="ConsPlusNormal"/>
            </w:pPr>
            <w:r>
              <w:t>Единовременных посетителей</w:t>
            </w:r>
          </w:p>
        </w:tc>
        <w:tc>
          <w:tcPr>
            <w:tcW w:w="2154" w:type="dxa"/>
            <w:vAlign w:val="center"/>
          </w:tcPr>
          <w:p w:rsidR="007D4BA9" w:rsidRDefault="007D4BA9">
            <w:pPr>
              <w:pStyle w:val="ConsPlusNormal"/>
              <w:jc w:val="center"/>
            </w:pPr>
            <w:r>
              <w:t>7</w:t>
            </w:r>
          </w:p>
        </w:tc>
      </w:tr>
      <w:tr w:rsidR="007D4BA9">
        <w:tc>
          <w:tcPr>
            <w:tcW w:w="4649" w:type="dxa"/>
            <w:vAlign w:val="center"/>
          </w:tcPr>
          <w:p w:rsidR="007D4BA9" w:rsidRDefault="007D4BA9">
            <w:pPr>
              <w:pStyle w:val="ConsPlusNormal"/>
              <w:jc w:val="both"/>
            </w:pPr>
            <w:r>
              <w:t>Пляжи</w:t>
            </w:r>
          </w:p>
        </w:tc>
        <w:tc>
          <w:tcPr>
            <w:tcW w:w="2269" w:type="dxa"/>
            <w:vAlign w:val="center"/>
          </w:tcPr>
          <w:p w:rsidR="007D4BA9" w:rsidRDefault="007D4BA9">
            <w:pPr>
              <w:pStyle w:val="ConsPlusNormal"/>
            </w:pPr>
            <w:r>
              <w:t>Единовременных посетителей</w:t>
            </w:r>
          </w:p>
        </w:tc>
        <w:tc>
          <w:tcPr>
            <w:tcW w:w="2154" w:type="dxa"/>
            <w:vAlign w:val="center"/>
          </w:tcPr>
          <w:p w:rsidR="007D4BA9" w:rsidRDefault="007D4BA9">
            <w:pPr>
              <w:pStyle w:val="ConsPlusNormal"/>
              <w:jc w:val="center"/>
            </w:pPr>
            <w:r>
              <w:t>10</w:t>
            </w:r>
          </w:p>
        </w:tc>
      </w:tr>
      <w:tr w:rsidR="007D4BA9">
        <w:tc>
          <w:tcPr>
            <w:tcW w:w="9072" w:type="dxa"/>
            <w:gridSpan w:val="3"/>
            <w:vAlign w:val="center"/>
          </w:tcPr>
          <w:p w:rsidR="007D4BA9" w:rsidRDefault="007D4BA9">
            <w:pPr>
              <w:pStyle w:val="ConsPlusNormal"/>
              <w:jc w:val="center"/>
              <w:outlineLvl w:val="3"/>
            </w:pPr>
            <w:r>
              <w:t>Объекты торгово-бытового и коммунального назначения</w:t>
            </w:r>
          </w:p>
        </w:tc>
      </w:tr>
      <w:tr w:rsidR="007D4BA9">
        <w:tc>
          <w:tcPr>
            <w:tcW w:w="4649" w:type="dxa"/>
            <w:vAlign w:val="center"/>
          </w:tcPr>
          <w:p w:rsidR="007D4BA9" w:rsidRDefault="007D4BA9">
            <w:pPr>
              <w:pStyle w:val="ConsPlusNormal"/>
              <w:jc w:val="both"/>
            </w:pPr>
            <w:r>
              <w:t>Развлекательные центры, цирки, кинотеатры, театры, архивы, концертные залы</w:t>
            </w:r>
          </w:p>
        </w:tc>
        <w:tc>
          <w:tcPr>
            <w:tcW w:w="2269" w:type="dxa"/>
            <w:vAlign w:val="center"/>
          </w:tcPr>
          <w:p w:rsidR="007D4BA9" w:rsidRDefault="007D4BA9">
            <w:pPr>
              <w:pStyle w:val="ConsPlusNormal"/>
            </w:pPr>
            <w:r>
              <w:t>Работающих + единовременных посетителей (мест)</w:t>
            </w:r>
          </w:p>
        </w:tc>
        <w:tc>
          <w:tcPr>
            <w:tcW w:w="2154" w:type="dxa"/>
            <w:vAlign w:val="center"/>
          </w:tcPr>
          <w:p w:rsidR="007D4BA9" w:rsidRDefault="007D4BA9">
            <w:pPr>
              <w:pStyle w:val="ConsPlusNormal"/>
              <w:jc w:val="center"/>
            </w:pPr>
            <w:r>
              <w:t>5 + 5</w:t>
            </w:r>
          </w:p>
        </w:tc>
      </w:tr>
      <w:tr w:rsidR="007D4BA9">
        <w:tc>
          <w:tcPr>
            <w:tcW w:w="4649" w:type="dxa"/>
            <w:vAlign w:val="center"/>
          </w:tcPr>
          <w:p w:rsidR="007D4BA9" w:rsidRDefault="007D4BA9">
            <w:pPr>
              <w:pStyle w:val="ConsPlusNormal"/>
              <w:jc w:val="both"/>
            </w:pPr>
            <w:r>
              <w:t xml:space="preserve">Объекты коммунально-бытового обслуживания (парикмахерские, косметические салоны, </w:t>
            </w:r>
            <w:r>
              <w:lastRenderedPageBreak/>
              <w:t>прачечные, химчистки, почта, банки, отделения и станции связи, бюро ритуальных услуг)</w:t>
            </w:r>
          </w:p>
        </w:tc>
        <w:tc>
          <w:tcPr>
            <w:tcW w:w="2269" w:type="dxa"/>
            <w:vAlign w:val="center"/>
          </w:tcPr>
          <w:p w:rsidR="007D4BA9" w:rsidRDefault="007D4BA9">
            <w:pPr>
              <w:pStyle w:val="ConsPlusNormal"/>
            </w:pPr>
            <w:r>
              <w:lastRenderedPageBreak/>
              <w:t>кв. м общей площади</w:t>
            </w:r>
          </w:p>
        </w:tc>
        <w:tc>
          <w:tcPr>
            <w:tcW w:w="2154" w:type="dxa"/>
            <w:vAlign w:val="center"/>
          </w:tcPr>
          <w:p w:rsidR="007D4BA9" w:rsidRDefault="007D4BA9">
            <w:pPr>
              <w:pStyle w:val="ConsPlusNormal"/>
              <w:jc w:val="center"/>
            </w:pPr>
            <w:r>
              <w:t>50</w:t>
            </w:r>
          </w:p>
        </w:tc>
      </w:tr>
      <w:tr w:rsidR="007D4BA9">
        <w:tc>
          <w:tcPr>
            <w:tcW w:w="4649" w:type="dxa"/>
            <w:vAlign w:val="center"/>
          </w:tcPr>
          <w:p w:rsidR="007D4BA9" w:rsidRDefault="007D4BA9">
            <w:pPr>
              <w:pStyle w:val="ConsPlusNormal"/>
              <w:jc w:val="both"/>
            </w:pPr>
            <w:r>
              <w:lastRenderedPageBreak/>
              <w:t>Торговые центры и комплексы, специализированные торговые объекты, супермаркеты, универсамы, универмаги, рынки, многофункциональные центры</w:t>
            </w:r>
          </w:p>
        </w:tc>
        <w:tc>
          <w:tcPr>
            <w:tcW w:w="2269" w:type="dxa"/>
            <w:vAlign w:val="center"/>
          </w:tcPr>
          <w:p w:rsidR="007D4BA9" w:rsidRDefault="007D4BA9">
            <w:pPr>
              <w:pStyle w:val="ConsPlusNormal"/>
            </w:pPr>
            <w:r>
              <w:t>кв. м общей площади</w:t>
            </w:r>
          </w:p>
        </w:tc>
        <w:tc>
          <w:tcPr>
            <w:tcW w:w="2154" w:type="dxa"/>
            <w:vAlign w:val="center"/>
          </w:tcPr>
          <w:p w:rsidR="007D4BA9" w:rsidRDefault="007D4BA9">
            <w:pPr>
              <w:pStyle w:val="ConsPlusNormal"/>
              <w:jc w:val="center"/>
            </w:pPr>
            <w:r>
              <w:t>50</w:t>
            </w:r>
          </w:p>
        </w:tc>
      </w:tr>
      <w:tr w:rsidR="007D4BA9">
        <w:tc>
          <w:tcPr>
            <w:tcW w:w="4649" w:type="dxa"/>
            <w:vAlign w:val="center"/>
          </w:tcPr>
          <w:p w:rsidR="007D4BA9" w:rsidRDefault="007D4BA9">
            <w:pPr>
              <w:pStyle w:val="ConsPlusNormal"/>
              <w:jc w:val="both"/>
            </w:pPr>
            <w:r>
              <w:t>Рестораны, кафе городского значения</w:t>
            </w:r>
          </w:p>
        </w:tc>
        <w:tc>
          <w:tcPr>
            <w:tcW w:w="2269" w:type="dxa"/>
            <w:vAlign w:val="center"/>
          </w:tcPr>
          <w:p w:rsidR="007D4BA9" w:rsidRDefault="007D4BA9">
            <w:pPr>
              <w:pStyle w:val="ConsPlusNormal"/>
            </w:pPr>
            <w:r>
              <w:t>Посадочных мест</w:t>
            </w:r>
          </w:p>
        </w:tc>
        <w:tc>
          <w:tcPr>
            <w:tcW w:w="2154" w:type="dxa"/>
            <w:vAlign w:val="center"/>
          </w:tcPr>
          <w:p w:rsidR="007D4BA9" w:rsidRDefault="007D4BA9">
            <w:pPr>
              <w:pStyle w:val="ConsPlusNormal"/>
              <w:jc w:val="center"/>
            </w:pPr>
            <w:r>
              <w:t>7 (5)</w:t>
            </w:r>
          </w:p>
        </w:tc>
      </w:tr>
      <w:tr w:rsidR="007D4BA9">
        <w:tc>
          <w:tcPr>
            <w:tcW w:w="4649" w:type="dxa"/>
            <w:vAlign w:val="center"/>
          </w:tcPr>
          <w:p w:rsidR="007D4BA9" w:rsidRDefault="007D4BA9">
            <w:pPr>
              <w:pStyle w:val="ConsPlusNormal"/>
              <w:jc w:val="both"/>
            </w:pPr>
            <w:r>
              <w:t>Культовые объекты</w:t>
            </w:r>
          </w:p>
        </w:tc>
        <w:tc>
          <w:tcPr>
            <w:tcW w:w="2269" w:type="dxa"/>
            <w:vAlign w:val="center"/>
          </w:tcPr>
          <w:p w:rsidR="007D4BA9" w:rsidRDefault="007D4BA9">
            <w:pPr>
              <w:pStyle w:val="ConsPlusNormal"/>
            </w:pPr>
            <w:r>
              <w:t>Посетителей</w:t>
            </w:r>
          </w:p>
        </w:tc>
        <w:tc>
          <w:tcPr>
            <w:tcW w:w="2154" w:type="dxa"/>
            <w:vAlign w:val="center"/>
          </w:tcPr>
          <w:p w:rsidR="007D4BA9" w:rsidRDefault="007D4BA9">
            <w:pPr>
              <w:pStyle w:val="ConsPlusNormal"/>
              <w:jc w:val="center"/>
            </w:pPr>
            <w:r>
              <w:t xml:space="preserve">8 - 10, но не менее 8 </w:t>
            </w:r>
            <w:proofErr w:type="spellStart"/>
            <w:r>
              <w:t>машино</w:t>
            </w:r>
            <w:proofErr w:type="spellEnd"/>
            <w:r>
              <w:t>-мест на объект</w:t>
            </w:r>
          </w:p>
        </w:tc>
      </w:tr>
      <w:tr w:rsidR="007D4BA9">
        <w:tc>
          <w:tcPr>
            <w:tcW w:w="4649" w:type="dxa"/>
            <w:vAlign w:val="center"/>
          </w:tcPr>
          <w:p w:rsidR="007D4BA9" w:rsidRDefault="007D4BA9">
            <w:pPr>
              <w:pStyle w:val="ConsPlusNormal"/>
              <w:jc w:val="both"/>
            </w:pPr>
            <w:r>
              <w:t>Рынки постоянные (универсальные, непродовольственные/продовольственные, с/х)</w:t>
            </w:r>
          </w:p>
        </w:tc>
        <w:tc>
          <w:tcPr>
            <w:tcW w:w="2269" w:type="dxa"/>
            <w:vAlign w:val="center"/>
          </w:tcPr>
          <w:p w:rsidR="007D4BA9" w:rsidRDefault="007D4BA9">
            <w:pPr>
              <w:pStyle w:val="ConsPlusNormal"/>
            </w:pPr>
            <w:r>
              <w:t>кв. м общей площади</w:t>
            </w:r>
          </w:p>
        </w:tc>
        <w:tc>
          <w:tcPr>
            <w:tcW w:w="2154" w:type="dxa"/>
            <w:vAlign w:val="center"/>
          </w:tcPr>
          <w:p w:rsidR="007D4BA9" w:rsidRDefault="007D4BA9">
            <w:pPr>
              <w:pStyle w:val="ConsPlusNormal"/>
              <w:jc w:val="center"/>
            </w:pPr>
            <w:r>
              <w:t>50</w:t>
            </w:r>
          </w:p>
        </w:tc>
      </w:tr>
      <w:tr w:rsidR="007D4BA9">
        <w:tc>
          <w:tcPr>
            <w:tcW w:w="4649" w:type="dxa"/>
            <w:vAlign w:val="center"/>
          </w:tcPr>
          <w:p w:rsidR="007D4BA9" w:rsidRDefault="007D4BA9">
            <w:pPr>
              <w:pStyle w:val="ConsPlusNormal"/>
              <w:jc w:val="both"/>
            </w:pPr>
            <w:r>
              <w:t>Общежития</w:t>
            </w:r>
          </w:p>
        </w:tc>
        <w:tc>
          <w:tcPr>
            <w:tcW w:w="2269" w:type="dxa"/>
            <w:vAlign w:val="center"/>
          </w:tcPr>
          <w:p w:rsidR="007D4BA9" w:rsidRDefault="007D4BA9">
            <w:pPr>
              <w:pStyle w:val="ConsPlusNormal"/>
            </w:pPr>
            <w:r>
              <w:t>Работающих + проживающих</w:t>
            </w:r>
          </w:p>
        </w:tc>
        <w:tc>
          <w:tcPr>
            <w:tcW w:w="2154" w:type="dxa"/>
            <w:vAlign w:val="center"/>
          </w:tcPr>
          <w:p w:rsidR="007D4BA9" w:rsidRDefault="007D4BA9">
            <w:pPr>
              <w:pStyle w:val="ConsPlusNormal"/>
              <w:jc w:val="center"/>
            </w:pPr>
            <w:r>
              <w:t>5 + 10</w:t>
            </w:r>
          </w:p>
        </w:tc>
      </w:tr>
      <w:tr w:rsidR="007D4BA9">
        <w:tc>
          <w:tcPr>
            <w:tcW w:w="9072" w:type="dxa"/>
            <w:gridSpan w:val="3"/>
            <w:vAlign w:val="center"/>
          </w:tcPr>
          <w:p w:rsidR="007D4BA9" w:rsidRDefault="007D4BA9">
            <w:pPr>
              <w:pStyle w:val="ConsPlusNormal"/>
              <w:jc w:val="center"/>
              <w:outlineLvl w:val="3"/>
            </w:pPr>
            <w:r>
              <w:t>Объекты промышленно-производственного, транспортного, социального обслуживания и иные</w:t>
            </w:r>
          </w:p>
        </w:tc>
      </w:tr>
      <w:tr w:rsidR="007D4BA9">
        <w:tc>
          <w:tcPr>
            <w:tcW w:w="4649" w:type="dxa"/>
            <w:vAlign w:val="center"/>
          </w:tcPr>
          <w:p w:rsidR="007D4BA9" w:rsidRDefault="007D4BA9">
            <w:pPr>
              <w:pStyle w:val="ConsPlusNormal"/>
              <w:jc w:val="both"/>
            </w:pPr>
            <w:r>
              <w:t>Вокзалы всех видов транспорта</w:t>
            </w:r>
          </w:p>
        </w:tc>
        <w:tc>
          <w:tcPr>
            <w:tcW w:w="2269" w:type="dxa"/>
            <w:vAlign w:val="center"/>
          </w:tcPr>
          <w:p w:rsidR="007D4BA9" w:rsidRDefault="007D4BA9">
            <w:pPr>
              <w:pStyle w:val="ConsPlusNormal"/>
            </w:pPr>
            <w:r>
              <w:t>Работающих + пассажиров в час пик</w:t>
            </w:r>
          </w:p>
        </w:tc>
        <w:tc>
          <w:tcPr>
            <w:tcW w:w="2154" w:type="dxa"/>
            <w:vAlign w:val="center"/>
          </w:tcPr>
          <w:p w:rsidR="007D4BA9" w:rsidRDefault="007D4BA9">
            <w:pPr>
              <w:pStyle w:val="ConsPlusNormal"/>
              <w:jc w:val="center"/>
            </w:pPr>
            <w:r>
              <w:t>5 + 8</w:t>
            </w:r>
          </w:p>
        </w:tc>
      </w:tr>
      <w:tr w:rsidR="007D4BA9">
        <w:tc>
          <w:tcPr>
            <w:tcW w:w="4649" w:type="dxa"/>
            <w:vAlign w:val="center"/>
          </w:tcPr>
          <w:p w:rsidR="007D4BA9" w:rsidRDefault="007D4BA9">
            <w:pPr>
              <w:pStyle w:val="ConsPlusNormal"/>
              <w:jc w:val="both"/>
            </w:pPr>
            <w:r>
              <w:t>Производственные и коммунально-складские здания</w:t>
            </w:r>
          </w:p>
        </w:tc>
        <w:tc>
          <w:tcPr>
            <w:tcW w:w="2269" w:type="dxa"/>
            <w:vAlign w:val="center"/>
          </w:tcPr>
          <w:p w:rsidR="007D4BA9" w:rsidRDefault="007D4BA9">
            <w:pPr>
              <w:pStyle w:val="ConsPlusNormal"/>
            </w:pPr>
            <w:r>
              <w:t>Работающих в двух смежных сменах</w:t>
            </w:r>
          </w:p>
        </w:tc>
        <w:tc>
          <w:tcPr>
            <w:tcW w:w="2154" w:type="dxa"/>
            <w:vAlign w:val="center"/>
          </w:tcPr>
          <w:p w:rsidR="007D4BA9" w:rsidRDefault="007D4BA9">
            <w:pPr>
              <w:pStyle w:val="ConsPlusNormal"/>
              <w:jc w:val="center"/>
            </w:pPr>
            <w:r>
              <w:t>8</w:t>
            </w:r>
          </w:p>
        </w:tc>
      </w:tr>
      <w:tr w:rsidR="007D4BA9">
        <w:tc>
          <w:tcPr>
            <w:tcW w:w="4649" w:type="dxa"/>
            <w:vAlign w:val="center"/>
          </w:tcPr>
          <w:p w:rsidR="007D4BA9" w:rsidRDefault="007D4BA9">
            <w:pPr>
              <w:pStyle w:val="ConsPlusNormal"/>
              <w:jc w:val="both"/>
            </w:pPr>
            <w:r>
              <w:t>Гостиницы</w:t>
            </w:r>
          </w:p>
        </w:tc>
        <w:tc>
          <w:tcPr>
            <w:tcW w:w="2269" w:type="dxa"/>
            <w:vAlign w:val="center"/>
          </w:tcPr>
          <w:p w:rsidR="007D4BA9" w:rsidRDefault="007D4BA9">
            <w:pPr>
              <w:pStyle w:val="ConsPlusNormal"/>
            </w:pPr>
            <w:r>
              <w:t>Работающих + мест</w:t>
            </w:r>
          </w:p>
        </w:tc>
        <w:tc>
          <w:tcPr>
            <w:tcW w:w="2154" w:type="dxa"/>
            <w:vAlign w:val="center"/>
          </w:tcPr>
          <w:p w:rsidR="007D4BA9" w:rsidRDefault="007D4BA9">
            <w:pPr>
              <w:pStyle w:val="ConsPlusNormal"/>
              <w:jc w:val="center"/>
            </w:pPr>
            <w:r>
              <w:t>5 + 5</w:t>
            </w:r>
          </w:p>
        </w:tc>
      </w:tr>
      <w:tr w:rsidR="007D4BA9">
        <w:tc>
          <w:tcPr>
            <w:tcW w:w="4649" w:type="dxa"/>
            <w:vAlign w:val="center"/>
          </w:tcPr>
          <w:p w:rsidR="007D4BA9" w:rsidRDefault="007D4BA9">
            <w:pPr>
              <w:pStyle w:val="ConsPlusNormal"/>
              <w:jc w:val="both"/>
            </w:pPr>
            <w:r>
              <w:t>Детские дома-интернаты</w:t>
            </w:r>
          </w:p>
        </w:tc>
        <w:tc>
          <w:tcPr>
            <w:tcW w:w="2269" w:type="dxa"/>
            <w:vAlign w:val="center"/>
          </w:tcPr>
          <w:p w:rsidR="007D4BA9" w:rsidRDefault="007D4BA9">
            <w:pPr>
              <w:pStyle w:val="ConsPlusNormal"/>
            </w:pPr>
            <w:r>
              <w:t>Работающие, занятые в одну смену</w:t>
            </w:r>
          </w:p>
        </w:tc>
        <w:tc>
          <w:tcPr>
            <w:tcW w:w="2154" w:type="dxa"/>
            <w:vAlign w:val="center"/>
          </w:tcPr>
          <w:p w:rsidR="007D4BA9" w:rsidRDefault="007D4BA9">
            <w:pPr>
              <w:pStyle w:val="ConsPlusNormal"/>
              <w:jc w:val="center"/>
            </w:pPr>
            <w:r>
              <w:t>8</w:t>
            </w:r>
          </w:p>
        </w:tc>
      </w:tr>
      <w:tr w:rsidR="007D4BA9">
        <w:tc>
          <w:tcPr>
            <w:tcW w:w="4649" w:type="dxa"/>
            <w:vAlign w:val="center"/>
          </w:tcPr>
          <w:p w:rsidR="007D4BA9" w:rsidRDefault="007D4BA9">
            <w:pPr>
              <w:pStyle w:val="ConsPlusNormal"/>
              <w:jc w:val="both"/>
            </w:pPr>
            <w:r>
              <w:t>Санатории-профилактории, дома отдыха (пансионаты), в том числе для отдыха с детьми, санаторные детские лагеря, детские лагеря, оздоровительные лагеря для старшеклассников</w:t>
            </w:r>
          </w:p>
        </w:tc>
        <w:tc>
          <w:tcPr>
            <w:tcW w:w="2269" w:type="dxa"/>
            <w:vAlign w:val="center"/>
          </w:tcPr>
          <w:p w:rsidR="007D4BA9" w:rsidRDefault="007D4BA9">
            <w:pPr>
              <w:pStyle w:val="ConsPlusNormal"/>
            </w:pPr>
            <w:r>
              <w:t>Отдыхающие и обслуживающий персонал</w:t>
            </w:r>
          </w:p>
        </w:tc>
        <w:tc>
          <w:tcPr>
            <w:tcW w:w="2154" w:type="dxa"/>
            <w:vAlign w:val="center"/>
          </w:tcPr>
          <w:p w:rsidR="007D4BA9" w:rsidRDefault="007D4BA9">
            <w:pPr>
              <w:pStyle w:val="ConsPlusNormal"/>
              <w:jc w:val="center"/>
            </w:pPr>
            <w:r>
              <w:t>18</w:t>
            </w:r>
          </w:p>
        </w:tc>
      </w:tr>
      <w:tr w:rsidR="007D4BA9">
        <w:tc>
          <w:tcPr>
            <w:tcW w:w="4649" w:type="dxa"/>
            <w:vAlign w:val="center"/>
          </w:tcPr>
          <w:p w:rsidR="007D4BA9" w:rsidRDefault="007D4BA9">
            <w:pPr>
              <w:pStyle w:val="ConsPlusNormal"/>
              <w:jc w:val="both"/>
            </w:pPr>
            <w:r>
              <w:t>Зоопарки, зверинцы</w:t>
            </w:r>
          </w:p>
        </w:tc>
        <w:tc>
          <w:tcPr>
            <w:tcW w:w="2269" w:type="dxa"/>
            <w:vAlign w:val="center"/>
          </w:tcPr>
          <w:p w:rsidR="007D4BA9" w:rsidRDefault="007D4BA9">
            <w:pPr>
              <w:pStyle w:val="ConsPlusNormal"/>
            </w:pPr>
            <w:r>
              <w:t>Единовременных посетителей</w:t>
            </w:r>
          </w:p>
        </w:tc>
        <w:tc>
          <w:tcPr>
            <w:tcW w:w="2154" w:type="dxa"/>
            <w:vAlign w:val="center"/>
          </w:tcPr>
          <w:p w:rsidR="007D4BA9" w:rsidRDefault="007D4BA9">
            <w:pPr>
              <w:pStyle w:val="ConsPlusNormal"/>
              <w:jc w:val="center"/>
            </w:pPr>
            <w:r>
              <w:t>10</w:t>
            </w:r>
          </w:p>
        </w:tc>
      </w:tr>
      <w:tr w:rsidR="007D4BA9">
        <w:tc>
          <w:tcPr>
            <w:tcW w:w="4649" w:type="dxa"/>
            <w:vAlign w:val="center"/>
          </w:tcPr>
          <w:p w:rsidR="007D4BA9" w:rsidRDefault="007D4BA9">
            <w:pPr>
              <w:pStyle w:val="ConsPlusNormal"/>
              <w:jc w:val="both"/>
            </w:pPr>
            <w:r>
              <w:t>Кладбища</w:t>
            </w:r>
          </w:p>
        </w:tc>
        <w:tc>
          <w:tcPr>
            <w:tcW w:w="2269" w:type="dxa"/>
            <w:vAlign w:val="center"/>
          </w:tcPr>
          <w:p w:rsidR="007D4BA9" w:rsidRDefault="007D4BA9">
            <w:pPr>
              <w:pStyle w:val="ConsPlusNormal"/>
            </w:pPr>
            <w:r>
              <w:t>Единовременных посетителей</w:t>
            </w:r>
          </w:p>
        </w:tc>
        <w:tc>
          <w:tcPr>
            <w:tcW w:w="2154" w:type="dxa"/>
            <w:vAlign w:val="center"/>
          </w:tcPr>
          <w:p w:rsidR="007D4BA9" w:rsidRDefault="007D4BA9">
            <w:pPr>
              <w:pStyle w:val="ConsPlusNormal"/>
              <w:jc w:val="center"/>
            </w:pPr>
            <w:r>
              <w:t>10</w:t>
            </w:r>
          </w:p>
        </w:tc>
      </w:tr>
      <w:tr w:rsidR="007D4BA9">
        <w:tc>
          <w:tcPr>
            <w:tcW w:w="4649" w:type="dxa"/>
            <w:vAlign w:val="center"/>
          </w:tcPr>
          <w:p w:rsidR="007D4BA9" w:rsidRDefault="007D4BA9">
            <w:pPr>
              <w:pStyle w:val="ConsPlusNormal"/>
              <w:jc w:val="both"/>
            </w:pPr>
            <w:r>
              <w:t>АЗС, АГЗС, объекты технического обслуживания автомобилей</w:t>
            </w:r>
          </w:p>
        </w:tc>
        <w:tc>
          <w:tcPr>
            <w:tcW w:w="2269" w:type="dxa"/>
            <w:vAlign w:val="center"/>
          </w:tcPr>
          <w:p w:rsidR="007D4BA9" w:rsidRDefault="007D4BA9">
            <w:pPr>
              <w:pStyle w:val="ConsPlusNormal"/>
            </w:pPr>
            <w:r>
              <w:t>1 пост</w:t>
            </w:r>
          </w:p>
        </w:tc>
        <w:tc>
          <w:tcPr>
            <w:tcW w:w="2154" w:type="dxa"/>
            <w:vAlign w:val="center"/>
          </w:tcPr>
          <w:p w:rsidR="007D4BA9" w:rsidRDefault="007D4BA9">
            <w:pPr>
              <w:pStyle w:val="ConsPlusNormal"/>
              <w:jc w:val="center"/>
            </w:pPr>
            <w:r>
              <w:t>0,5</w:t>
            </w:r>
          </w:p>
        </w:tc>
      </w:tr>
      <w:tr w:rsidR="007D4BA9">
        <w:tc>
          <w:tcPr>
            <w:tcW w:w="4649" w:type="dxa"/>
            <w:vAlign w:val="center"/>
          </w:tcPr>
          <w:p w:rsidR="007D4BA9" w:rsidRDefault="007D4BA9">
            <w:pPr>
              <w:pStyle w:val="ConsPlusNormal"/>
              <w:jc w:val="both"/>
            </w:pPr>
            <w:r>
              <w:t>Технические этажи, технические помещения</w:t>
            </w:r>
          </w:p>
        </w:tc>
        <w:tc>
          <w:tcPr>
            <w:tcW w:w="2269" w:type="dxa"/>
            <w:vAlign w:val="center"/>
          </w:tcPr>
          <w:p w:rsidR="007D4BA9" w:rsidRDefault="007D4BA9">
            <w:pPr>
              <w:pStyle w:val="ConsPlusNormal"/>
            </w:pPr>
            <w:r>
              <w:t>кв. м общей площади</w:t>
            </w:r>
          </w:p>
        </w:tc>
        <w:tc>
          <w:tcPr>
            <w:tcW w:w="2154" w:type="dxa"/>
            <w:vAlign w:val="center"/>
          </w:tcPr>
          <w:p w:rsidR="007D4BA9" w:rsidRDefault="007D4BA9">
            <w:pPr>
              <w:pStyle w:val="ConsPlusNormal"/>
              <w:jc w:val="center"/>
            </w:pPr>
            <w:r>
              <w:t>50</w:t>
            </w:r>
          </w:p>
        </w:tc>
      </w:tr>
    </w:tbl>
    <w:p w:rsidR="007D4BA9" w:rsidRDefault="007D4BA9">
      <w:pPr>
        <w:pStyle w:val="ConsPlusNormal"/>
        <w:jc w:val="both"/>
      </w:pPr>
    </w:p>
    <w:p w:rsidR="007D4BA9" w:rsidRDefault="007D4BA9">
      <w:pPr>
        <w:pStyle w:val="ConsPlusNormal"/>
        <w:ind w:firstLine="540"/>
        <w:jc w:val="both"/>
      </w:pPr>
      <w:r>
        <w:t>--------------------------------</w:t>
      </w:r>
    </w:p>
    <w:p w:rsidR="007D4BA9" w:rsidRDefault="007D4BA9">
      <w:pPr>
        <w:pStyle w:val="ConsPlusNormal"/>
        <w:spacing w:before="220"/>
        <w:ind w:firstLine="540"/>
        <w:jc w:val="both"/>
      </w:pPr>
      <w:bookmarkStart w:id="31" w:name="P1844"/>
      <w:bookmarkEnd w:id="31"/>
      <w:r>
        <w:t xml:space="preserve">&lt;*&gt; Расчетные показатели принимаются в соответствии с </w:t>
      </w:r>
      <w:hyperlink r:id="rId62">
        <w:r>
          <w:rPr>
            <w:color w:val="0000FF"/>
          </w:rPr>
          <w:t>СП 42.13330.2016</w:t>
        </w:r>
      </w:hyperlink>
      <w:r>
        <w:t>.</w:t>
      </w:r>
    </w:p>
    <w:p w:rsidR="007D4BA9" w:rsidRDefault="007D4BA9">
      <w:pPr>
        <w:pStyle w:val="ConsPlusNormal"/>
        <w:jc w:val="both"/>
      </w:pPr>
    </w:p>
    <w:p w:rsidR="007D4BA9" w:rsidRDefault="007D4BA9">
      <w:pPr>
        <w:pStyle w:val="ConsPlusNormal"/>
        <w:ind w:firstLine="540"/>
        <w:jc w:val="both"/>
      </w:pPr>
      <w:r>
        <w:t>Примечания:</w:t>
      </w:r>
    </w:p>
    <w:p w:rsidR="007D4BA9" w:rsidRDefault="007D4BA9">
      <w:pPr>
        <w:pStyle w:val="ConsPlusNormal"/>
        <w:spacing w:before="220"/>
        <w:ind w:firstLine="540"/>
        <w:jc w:val="both"/>
      </w:pPr>
      <w:r>
        <w:lastRenderedPageBreak/>
        <w:t xml:space="preserve">1. Количество </w:t>
      </w:r>
      <w:proofErr w:type="spellStart"/>
      <w:r>
        <w:t>машино</w:t>
      </w:r>
      <w:proofErr w:type="spellEnd"/>
      <w:r>
        <w:t xml:space="preserve">-мест определяется делением количества расчетных единиц, указанных во втором столбце, содержащихся в данном объекте, на значение третьего столбца. Расчет </w:t>
      </w:r>
      <w:proofErr w:type="spellStart"/>
      <w:r>
        <w:t>машино</w:t>
      </w:r>
      <w:proofErr w:type="spellEnd"/>
      <w:r>
        <w:t xml:space="preserve">-мест производится пропорционально расчетной единице с учетом интерполяции, результат округляется в сторону увеличения и не может составлять менее 1 </w:t>
      </w:r>
      <w:proofErr w:type="spellStart"/>
      <w:r>
        <w:t>машино</w:t>
      </w:r>
      <w:proofErr w:type="spellEnd"/>
      <w:r>
        <w:t>-места, за исключением расчета для следующего вида объектов: АЗС, АГЗС, объектов технического обслуживания автомобилей.</w:t>
      </w:r>
    </w:p>
    <w:p w:rsidR="007D4BA9" w:rsidRDefault="007D4BA9">
      <w:pPr>
        <w:pStyle w:val="ConsPlusNormal"/>
        <w:spacing w:before="220"/>
        <w:ind w:firstLine="540"/>
        <w:jc w:val="both"/>
      </w:pPr>
      <w:r>
        <w:t xml:space="preserve">2. Расчет количества </w:t>
      </w:r>
      <w:proofErr w:type="spellStart"/>
      <w:r>
        <w:t>машино</w:t>
      </w:r>
      <w:proofErr w:type="spellEnd"/>
      <w:r>
        <w:t>-мест для гостиниц с предприятием(-</w:t>
      </w:r>
      <w:proofErr w:type="spellStart"/>
      <w:r>
        <w:t>ями</w:t>
      </w:r>
      <w:proofErr w:type="spellEnd"/>
      <w:r>
        <w:t>) общественного питания (рестораны, кафе), количество посадочных мест которого(-ых) превышает количество мест для проживания в данной гостинице, производится раздельно для гостиниц и предприятий общественного питания.</w:t>
      </w:r>
    </w:p>
    <w:p w:rsidR="007D4BA9" w:rsidRDefault="007D4BA9">
      <w:pPr>
        <w:pStyle w:val="ConsPlusNormal"/>
        <w:spacing w:before="220"/>
        <w:ind w:firstLine="540"/>
        <w:jc w:val="both"/>
      </w:pPr>
      <w:bookmarkStart w:id="32" w:name="P1849"/>
      <w:bookmarkEnd w:id="32"/>
      <w:r>
        <w:t>3. При расчете количества парковочных мест в общую площадь здания не включается площадь лестничных клеток, лифтовых шахт, неэксплуатируемых чердачных помещений, эксплуатируемых кровель, террас и помещений, занимаемых автопарковками, технического этажа, если его высота не превышает 1,8 м, а также площадь технических помещений, если их общая площадь не превышает пять процентов от общей площади объекта.</w:t>
      </w:r>
    </w:p>
    <w:p w:rsidR="007D4BA9" w:rsidRDefault="007D4BA9">
      <w:pPr>
        <w:pStyle w:val="ConsPlusNormal"/>
        <w:spacing w:before="220"/>
        <w:ind w:firstLine="540"/>
        <w:jc w:val="both"/>
      </w:pPr>
      <w:r>
        <w:t xml:space="preserve">4. Для объектов с помещениями различного функционального назначения (многофункциональный комплекс) расчет ведется отдельно для каждого помещения в зависимости от его функционального назначения. По общим помещениям, за исключением указанных в </w:t>
      </w:r>
      <w:hyperlink w:anchor="P1849">
        <w:r>
          <w:rPr>
            <w:color w:val="0000FF"/>
          </w:rPr>
          <w:t>пункте 3</w:t>
        </w:r>
      </w:hyperlink>
      <w:r>
        <w:t xml:space="preserve"> настоящего Примечания, расчет осуществляется исходя из размещения 1 </w:t>
      </w:r>
      <w:proofErr w:type="spellStart"/>
      <w:r>
        <w:t>машино</w:t>
      </w:r>
      <w:proofErr w:type="spellEnd"/>
      <w:r>
        <w:t>-места на 50 кв. м общей площади.</w:t>
      </w:r>
    </w:p>
    <w:p w:rsidR="007D4BA9" w:rsidRDefault="007D4BA9">
      <w:pPr>
        <w:pStyle w:val="ConsPlusNormal"/>
        <w:spacing w:before="220"/>
        <w:ind w:firstLine="540"/>
        <w:jc w:val="both"/>
      </w:pPr>
      <w:r>
        <w:t>5. Количество парковочных мест для различного типа объектов, не урегулированных в Местных нормативах, определяется в соответствии с существующими нормами градостроительного проектирования.</w:t>
      </w:r>
    </w:p>
    <w:p w:rsidR="007D4BA9" w:rsidRDefault="007D4BA9">
      <w:pPr>
        <w:pStyle w:val="ConsPlusNormal"/>
        <w:spacing w:before="220"/>
        <w:ind w:firstLine="540"/>
        <w:jc w:val="both"/>
      </w:pPr>
      <w:r>
        <w:t>6. При реконструкции и новом строительстве объектов федерального, регионального и муниципального значения социальной направленности: ДОО, общеобразовательных объектов, объектов среднего и высшего профессионального образования, объектов дополнительного образования детей, расчетное количество парковочных мест разрешается не предусматривать в границах участка в случае наличия в радиусе 500 м или пешеходной доступности 800 м муниципальных парковок с требуемым количеством парковочных мест. Также разрешается размещение нормативного количества парковочных мест на земельных участках, предоставленных для целей размещения парковочных мест или позволяющих такое использование, а также участках парковочных карманов в пределах УДС. Получение разрешения на отклонение от предельных параметров разрешенного строительства по данному нормативу не требуется.</w:t>
      </w:r>
    </w:p>
    <w:p w:rsidR="007D4BA9" w:rsidRDefault="007D4BA9">
      <w:pPr>
        <w:pStyle w:val="ConsPlusNormal"/>
        <w:spacing w:before="220"/>
        <w:ind w:firstLine="540"/>
        <w:jc w:val="both"/>
      </w:pPr>
      <w:r>
        <w:t>7. При реконструкции объектов федерального, регионального и муниципального значения социальной направленности, не предусматривающих увеличения мощности (количество посещений, работающих, койко-мест), разрешается не предусматривать расчетное количество парковочных мест в случае отсутствия возможности их размещения в границах участка или на прилегающих территориях при условии обеспечения действующих требований для маломобильных групп населения. Также разрешается размещение нормативного количества парковочных мест на земельных участках, предоставленных для парковочных мест или позволяющих такое использование, а также участках парковочных карманов в пределах УДС, расположенных в радиусе доступности 500 м или пешеходной доступности 800 м. Получение разрешения на отклонение от предельных параметров разрешенного строительства по данному нормативу не требуется.</w:t>
      </w:r>
    </w:p>
    <w:p w:rsidR="007D4BA9" w:rsidRDefault="007D4BA9">
      <w:pPr>
        <w:pStyle w:val="ConsPlusNormal"/>
        <w:spacing w:before="220"/>
        <w:ind w:firstLine="540"/>
        <w:jc w:val="both"/>
      </w:pPr>
      <w:r>
        <w:t xml:space="preserve">8. При новом строительстве объектов здравоохранения разрешается предусматривать стоянки для посетителей в удобной доступности до соответствующих входов в здания на участке объекта, а также на иных земельных участках, предоставленных для целей размещения парковочных мест или позволяющих такое использование. Нормативное количество парковочных </w:t>
      </w:r>
      <w:r>
        <w:lastRenderedPageBreak/>
        <w:t>мест сокращается на 50 процентов в случае наличия в радиусе 500 м или пешеходной доступности 800 м муниципальных парковок с требуемым количеством парковочных мест, а также парковочных карманов в пределах УДС. Получение разрешения на отклонение от предельных параметров разрешенного строительства по данному нормативу не требуется.</w:t>
      </w:r>
    </w:p>
    <w:p w:rsidR="007D4BA9" w:rsidRDefault="007D4BA9">
      <w:pPr>
        <w:pStyle w:val="ConsPlusNormal"/>
        <w:spacing w:before="220"/>
        <w:ind w:firstLine="540"/>
        <w:jc w:val="both"/>
      </w:pPr>
      <w:r>
        <w:t>9. При новом строительстве и реконструкции объектов спорта, культурно-досуговой деятельности (библиотеки, дома культуры) социальной направленности допускается предусматривать стоянки для посетителей в удобной доступности до соответствующих входов в здания на участке объекта, а также на иных земельных участках, предоставленных для целей размещения парковочных мест или позволяющих такое использование. Допускается сокращать на 50 процентов нормативное количество парковочных мест в случае наличия в радиусе 500 м или пешеходной доступности 800 м муниципальных парковок с требуемым количеством парковочных мест, а также парковочных карманов в пределах улично-дорожной сети. Получение разрешения на отклонение от предельных параметров разрешенного строительства по данному нормативу не требуется.</w:t>
      </w:r>
    </w:p>
    <w:p w:rsidR="007D4BA9" w:rsidRDefault="007D4BA9">
      <w:pPr>
        <w:pStyle w:val="ConsPlusNormal"/>
        <w:spacing w:before="220"/>
        <w:ind w:firstLine="540"/>
        <w:jc w:val="both"/>
      </w:pPr>
      <w:r>
        <w:t xml:space="preserve">10. Гостевые автостоянки должны размещаться вне пределов земельного участка в красных линиях УДС в </w:t>
      </w:r>
      <w:proofErr w:type="spellStart"/>
      <w:r>
        <w:t>уширениях</w:t>
      </w:r>
      <w:proofErr w:type="spellEnd"/>
      <w:r>
        <w:t xml:space="preserve"> проезжей части или на специально отведенном земельном участке.</w:t>
      </w:r>
    </w:p>
    <w:p w:rsidR="007D4BA9" w:rsidRDefault="007D4BA9">
      <w:pPr>
        <w:pStyle w:val="ConsPlusNormal"/>
        <w:spacing w:before="220"/>
        <w:ind w:firstLine="540"/>
        <w:jc w:val="both"/>
      </w:pPr>
      <w:r>
        <w:t xml:space="preserve">11. Рекомендуемые значения параметров </w:t>
      </w:r>
      <w:proofErr w:type="spellStart"/>
      <w:r>
        <w:t>машино</w:t>
      </w:r>
      <w:proofErr w:type="spellEnd"/>
      <w:r>
        <w:t>-мест при различных способах расстановки легковых автомобилей на парковках указаны в таблице 22.</w:t>
      </w:r>
    </w:p>
    <w:p w:rsidR="007D4BA9" w:rsidRDefault="007D4BA9">
      <w:pPr>
        <w:pStyle w:val="ConsPlusNormal"/>
        <w:jc w:val="both"/>
      </w:pPr>
    </w:p>
    <w:p w:rsidR="007D4BA9" w:rsidRDefault="007D4BA9">
      <w:pPr>
        <w:pStyle w:val="ConsPlusNormal"/>
        <w:jc w:val="right"/>
        <w:outlineLvl w:val="3"/>
      </w:pPr>
      <w:r>
        <w:t>Таблица 22</w:t>
      </w:r>
    </w:p>
    <w:p w:rsidR="007D4BA9" w:rsidRDefault="007D4BA9">
      <w:pPr>
        <w:pStyle w:val="ConsPlusNormal"/>
        <w:jc w:val="both"/>
      </w:pPr>
    </w:p>
    <w:p w:rsidR="007D4BA9" w:rsidRDefault="007D4BA9">
      <w:pPr>
        <w:pStyle w:val="ConsPlusTitle"/>
        <w:jc w:val="center"/>
      </w:pPr>
      <w:r>
        <w:t xml:space="preserve">Рекомендуемые значения параметров </w:t>
      </w:r>
      <w:proofErr w:type="spellStart"/>
      <w:r>
        <w:t>машино</w:t>
      </w:r>
      <w:proofErr w:type="spellEnd"/>
      <w:r>
        <w:t>-мест при различных</w:t>
      </w:r>
    </w:p>
    <w:p w:rsidR="007D4BA9" w:rsidRDefault="007D4BA9">
      <w:pPr>
        <w:pStyle w:val="ConsPlusTitle"/>
        <w:jc w:val="center"/>
      </w:pPr>
      <w:r>
        <w:t>способах расстановки легковых автомобилей на парковках</w:t>
      </w:r>
    </w:p>
    <w:p w:rsidR="007D4BA9" w:rsidRDefault="007D4BA9">
      <w:pPr>
        <w:pStyle w:val="ConsPlusNormal"/>
        <w:jc w:val="both"/>
      </w:pPr>
    </w:p>
    <w:p w:rsidR="007D4BA9" w:rsidRDefault="007D4BA9">
      <w:pPr>
        <w:pStyle w:val="ConsPlusNormal"/>
        <w:sectPr w:rsidR="007D4BA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52"/>
        <w:gridCol w:w="2438"/>
        <w:gridCol w:w="1013"/>
        <w:gridCol w:w="1160"/>
        <w:gridCol w:w="1165"/>
        <w:gridCol w:w="1161"/>
        <w:gridCol w:w="2381"/>
      </w:tblGrid>
      <w:tr w:rsidR="007D4BA9">
        <w:tc>
          <w:tcPr>
            <w:tcW w:w="4252" w:type="dxa"/>
            <w:vMerge w:val="restart"/>
          </w:tcPr>
          <w:p w:rsidR="007D4BA9" w:rsidRDefault="007D4BA9">
            <w:pPr>
              <w:pStyle w:val="ConsPlusNormal"/>
              <w:jc w:val="center"/>
            </w:pPr>
            <w:r>
              <w:lastRenderedPageBreak/>
              <w:t>Параметры парковки</w:t>
            </w:r>
          </w:p>
        </w:tc>
        <w:tc>
          <w:tcPr>
            <w:tcW w:w="9318" w:type="dxa"/>
            <w:gridSpan w:val="6"/>
          </w:tcPr>
          <w:p w:rsidR="007D4BA9" w:rsidRDefault="007D4BA9">
            <w:pPr>
              <w:pStyle w:val="ConsPlusNormal"/>
              <w:jc w:val="center"/>
            </w:pPr>
            <w:r>
              <w:t>Угол расстановки автомобилей,</w:t>
            </w:r>
          </w:p>
        </w:tc>
      </w:tr>
      <w:tr w:rsidR="007D4BA9">
        <w:tc>
          <w:tcPr>
            <w:tcW w:w="4252" w:type="dxa"/>
            <w:vMerge/>
          </w:tcPr>
          <w:p w:rsidR="007D4BA9" w:rsidRDefault="007D4BA9">
            <w:pPr>
              <w:pStyle w:val="ConsPlusNormal"/>
            </w:pPr>
          </w:p>
        </w:tc>
        <w:tc>
          <w:tcPr>
            <w:tcW w:w="2438" w:type="dxa"/>
          </w:tcPr>
          <w:p w:rsidR="007D4BA9" w:rsidRDefault="007D4BA9">
            <w:pPr>
              <w:pStyle w:val="ConsPlusNormal"/>
              <w:jc w:val="center"/>
            </w:pPr>
            <w:r>
              <w:t>0°</w:t>
            </w:r>
          </w:p>
        </w:tc>
        <w:tc>
          <w:tcPr>
            <w:tcW w:w="1013" w:type="dxa"/>
          </w:tcPr>
          <w:p w:rsidR="007D4BA9" w:rsidRDefault="007D4BA9">
            <w:pPr>
              <w:pStyle w:val="ConsPlusNormal"/>
              <w:jc w:val="center"/>
            </w:pPr>
            <w:r>
              <w:t>30°</w:t>
            </w:r>
          </w:p>
        </w:tc>
        <w:tc>
          <w:tcPr>
            <w:tcW w:w="1160" w:type="dxa"/>
          </w:tcPr>
          <w:p w:rsidR="007D4BA9" w:rsidRDefault="007D4BA9">
            <w:pPr>
              <w:pStyle w:val="ConsPlusNormal"/>
              <w:jc w:val="center"/>
            </w:pPr>
            <w:r>
              <w:t>40°</w:t>
            </w:r>
          </w:p>
        </w:tc>
        <w:tc>
          <w:tcPr>
            <w:tcW w:w="1165" w:type="dxa"/>
          </w:tcPr>
          <w:p w:rsidR="007D4BA9" w:rsidRDefault="007D4BA9">
            <w:pPr>
              <w:pStyle w:val="ConsPlusNormal"/>
              <w:jc w:val="center"/>
            </w:pPr>
            <w:r>
              <w:t>60°</w:t>
            </w:r>
          </w:p>
        </w:tc>
        <w:tc>
          <w:tcPr>
            <w:tcW w:w="1161" w:type="dxa"/>
          </w:tcPr>
          <w:p w:rsidR="007D4BA9" w:rsidRDefault="007D4BA9">
            <w:pPr>
              <w:pStyle w:val="ConsPlusNormal"/>
              <w:jc w:val="center"/>
            </w:pPr>
            <w:r>
              <w:t>70°</w:t>
            </w:r>
          </w:p>
        </w:tc>
        <w:tc>
          <w:tcPr>
            <w:tcW w:w="2381" w:type="dxa"/>
          </w:tcPr>
          <w:p w:rsidR="007D4BA9" w:rsidRDefault="007D4BA9">
            <w:pPr>
              <w:pStyle w:val="ConsPlusNormal"/>
              <w:jc w:val="center"/>
            </w:pPr>
            <w:r>
              <w:t>90°</w:t>
            </w:r>
          </w:p>
        </w:tc>
      </w:tr>
      <w:tr w:rsidR="007D4BA9">
        <w:tc>
          <w:tcPr>
            <w:tcW w:w="4252" w:type="dxa"/>
            <w:vMerge/>
          </w:tcPr>
          <w:p w:rsidR="007D4BA9" w:rsidRDefault="007D4BA9">
            <w:pPr>
              <w:pStyle w:val="ConsPlusNormal"/>
            </w:pPr>
          </w:p>
        </w:tc>
        <w:tc>
          <w:tcPr>
            <w:tcW w:w="2438" w:type="dxa"/>
          </w:tcPr>
          <w:p w:rsidR="007D4BA9" w:rsidRDefault="007D4BA9">
            <w:pPr>
              <w:pStyle w:val="ConsPlusNormal"/>
              <w:jc w:val="center"/>
            </w:pPr>
            <w:r>
              <w:rPr>
                <w:noProof/>
                <w:position w:val="-15"/>
              </w:rPr>
              <w:drawing>
                <wp:inline distT="0" distB="0" distL="0" distR="0">
                  <wp:extent cx="1469390" cy="3422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3">
                            <a:extLst>
                              <a:ext uri="{28A0092B-C50C-407E-A947-70E740481C1C}">
                                <a14:useLocalDpi xmlns:a14="http://schemas.microsoft.com/office/drawing/2010/main" val="0"/>
                              </a:ext>
                            </a:extLst>
                          </a:blip>
                          <a:srcRect/>
                          <a:stretch>
                            <a:fillRect/>
                          </a:stretch>
                        </pic:blipFill>
                        <pic:spPr bwMode="auto">
                          <a:xfrm>
                            <a:off x="0" y="0"/>
                            <a:ext cx="1469390" cy="342265"/>
                          </a:xfrm>
                          <a:prstGeom prst="rect">
                            <a:avLst/>
                          </a:prstGeom>
                          <a:noFill/>
                          <a:ln>
                            <a:noFill/>
                          </a:ln>
                        </pic:spPr>
                      </pic:pic>
                    </a:graphicData>
                  </a:graphic>
                </wp:inline>
              </w:drawing>
            </w:r>
          </w:p>
        </w:tc>
        <w:tc>
          <w:tcPr>
            <w:tcW w:w="4499" w:type="dxa"/>
            <w:gridSpan w:val="4"/>
          </w:tcPr>
          <w:p w:rsidR="007D4BA9" w:rsidRDefault="007D4BA9">
            <w:pPr>
              <w:pStyle w:val="ConsPlusNormal"/>
              <w:jc w:val="center"/>
            </w:pPr>
            <w:r>
              <w:rPr>
                <w:noProof/>
                <w:position w:val="-67"/>
              </w:rPr>
              <w:drawing>
                <wp:inline distT="0" distB="0" distL="0" distR="0">
                  <wp:extent cx="1583055" cy="99250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
                            <a:extLst>
                              <a:ext uri="{28A0092B-C50C-407E-A947-70E740481C1C}">
                                <a14:useLocalDpi xmlns:a14="http://schemas.microsoft.com/office/drawing/2010/main" val="0"/>
                              </a:ext>
                            </a:extLst>
                          </a:blip>
                          <a:srcRect/>
                          <a:stretch>
                            <a:fillRect/>
                          </a:stretch>
                        </pic:blipFill>
                        <pic:spPr bwMode="auto">
                          <a:xfrm>
                            <a:off x="0" y="0"/>
                            <a:ext cx="1583055" cy="992505"/>
                          </a:xfrm>
                          <a:prstGeom prst="rect">
                            <a:avLst/>
                          </a:prstGeom>
                          <a:noFill/>
                          <a:ln>
                            <a:noFill/>
                          </a:ln>
                        </pic:spPr>
                      </pic:pic>
                    </a:graphicData>
                  </a:graphic>
                </wp:inline>
              </w:drawing>
            </w:r>
          </w:p>
        </w:tc>
        <w:tc>
          <w:tcPr>
            <w:tcW w:w="2381" w:type="dxa"/>
          </w:tcPr>
          <w:p w:rsidR="007D4BA9" w:rsidRDefault="007D4BA9">
            <w:pPr>
              <w:pStyle w:val="ConsPlusNormal"/>
              <w:jc w:val="center"/>
            </w:pPr>
            <w:r>
              <w:rPr>
                <w:noProof/>
                <w:position w:val="-34"/>
              </w:rPr>
              <w:drawing>
                <wp:inline distT="0" distB="0" distL="0" distR="0">
                  <wp:extent cx="1433195" cy="57658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
                            <a:extLst>
                              <a:ext uri="{28A0092B-C50C-407E-A947-70E740481C1C}">
                                <a14:useLocalDpi xmlns:a14="http://schemas.microsoft.com/office/drawing/2010/main" val="0"/>
                              </a:ext>
                            </a:extLst>
                          </a:blip>
                          <a:srcRect/>
                          <a:stretch>
                            <a:fillRect/>
                          </a:stretch>
                        </pic:blipFill>
                        <pic:spPr bwMode="auto">
                          <a:xfrm>
                            <a:off x="0" y="0"/>
                            <a:ext cx="1433195" cy="576580"/>
                          </a:xfrm>
                          <a:prstGeom prst="rect">
                            <a:avLst/>
                          </a:prstGeom>
                          <a:noFill/>
                          <a:ln>
                            <a:noFill/>
                          </a:ln>
                        </pic:spPr>
                      </pic:pic>
                    </a:graphicData>
                  </a:graphic>
                </wp:inline>
              </w:drawing>
            </w:r>
          </w:p>
        </w:tc>
      </w:tr>
      <w:tr w:rsidR="007D4BA9">
        <w:tc>
          <w:tcPr>
            <w:tcW w:w="4252" w:type="dxa"/>
          </w:tcPr>
          <w:p w:rsidR="007D4BA9" w:rsidRDefault="007D4BA9">
            <w:pPr>
              <w:pStyle w:val="ConsPlusNormal"/>
            </w:pPr>
            <w:r>
              <w:t xml:space="preserve">Длина </w:t>
            </w:r>
            <w:proofErr w:type="spellStart"/>
            <w:r>
              <w:t>машино</w:t>
            </w:r>
            <w:proofErr w:type="spellEnd"/>
            <w:r>
              <w:t>-места (l), м</w:t>
            </w:r>
          </w:p>
        </w:tc>
        <w:tc>
          <w:tcPr>
            <w:tcW w:w="2438" w:type="dxa"/>
          </w:tcPr>
          <w:p w:rsidR="007D4BA9" w:rsidRDefault="007D4BA9">
            <w:pPr>
              <w:pStyle w:val="ConsPlusNormal"/>
              <w:jc w:val="center"/>
            </w:pPr>
            <w:r>
              <w:t>Не менее 6,5</w:t>
            </w:r>
          </w:p>
        </w:tc>
        <w:tc>
          <w:tcPr>
            <w:tcW w:w="1013" w:type="dxa"/>
          </w:tcPr>
          <w:p w:rsidR="007D4BA9" w:rsidRDefault="007D4BA9">
            <w:pPr>
              <w:pStyle w:val="ConsPlusNormal"/>
              <w:jc w:val="center"/>
            </w:pPr>
            <w:r>
              <w:t>5,0</w:t>
            </w:r>
          </w:p>
        </w:tc>
        <w:tc>
          <w:tcPr>
            <w:tcW w:w="1160" w:type="dxa"/>
          </w:tcPr>
          <w:p w:rsidR="007D4BA9" w:rsidRDefault="007D4BA9">
            <w:pPr>
              <w:pStyle w:val="ConsPlusNormal"/>
              <w:jc w:val="center"/>
            </w:pPr>
            <w:r>
              <w:t>5,0</w:t>
            </w:r>
          </w:p>
        </w:tc>
        <w:tc>
          <w:tcPr>
            <w:tcW w:w="1165" w:type="dxa"/>
          </w:tcPr>
          <w:p w:rsidR="007D4BA9" w:rsidRDefault="007D4BA9">
            <w:pPr>
              <w:pStyle w:val="ConsPlusNormal"/>
              <w:jc w:val="center"/>
            </w:pPr>
            <w:r>
              <w:t>5,0</w:t>
            </w:r>
          </w:p>
        </w:tc>
        <w:tc>
          <w:tcPr>
            <w:tcW w:w="1161" w:type="dxa"/>
          </w:tcPr>
          <w:p w:rsidR="007D4BA9" w:rsidRDefault="007D4BA9">
            <w:pPr>
              <w:pStyle w:val="ConsPlusNormal"/>
              <w:jc w:val="center"/>
            </w:pPr>
            <w:r>
              <w:t>5,0</w:t>
            </w:r>
          </w:p>
        </w:tc>
        <w:tc>
          <w:tcPr>
            <w:tcW w:w="2381" w:type="dxa"/>
          </w:tcPr>
          <w:p w:rsidR="007D4BA9" w:rsidRDefault="007D4BA9">
            <w:pPr>
              <w:pStyle w:val="ConsPlusNormal"/>
              <w:jc w:val="center"/>
            </w:pPr>
            <w:r>
              <w:t>5,0</w:t>
            </w:r>
          </w:p>
        </w:tc>
      </w:tr>
      <w:tr w:rsidR="007D4BA9">
        <w:tc>
          <w:tcPr>
            <w:tcW w:w="4252" w:type="dxa"/>
          </w:tcPr>
          <w:p w:rsidR="007D4BA9" w:rsidRDefault="007D4BA9">
            <w:pPr>
              <w:pStyle w:val="ConsPlusNormal"/>
            </w:pPr>
            <w:r>
              <w:t xml:space="preserve">Ширина </w:t>
            </w:r>
            <w:proofErr w:type="spellStart"/>
            <w:r>
              <w:t>машино</w:t>
            </w:r>
            <w:proofErr w:type="spellEnd"/>
            <w:r>
              <w:t>-места (b), м</w:t>
            </w:r>
          </w:p>
        </w:tc>
        <w:tc>
          <w:tcPr>
            <w:tcW w:w="2438" w:type="dxa"/>
          </w:tcPr>
          <w:p w:rsidR="007D4BA9" w:rsidRDefault="007D4BA9">
            <w:pPr>
              <w:pStyle w:val="ConsPlusNormal"/>
              <w:jc w:val="center"/>
            </w:pPr>
            <w:r>
              <w:t>2,2</w:t>
            </w:r>
          </w:p>
        </w:tc>
        <w:tc>
          <w:tcPr>
            <w:tcW w:w="1013" w:type="dxa"/>
          </w:tcPr>
          <w:p w:rsidR="007D4BA9" w:rsidRDefault="007D4BA9">
            <w:pPr>
              <w:pStyle w:val="ConsPlusNormal"/>
              <w:jc w:val="center"/>
            </w:pPr>
            <w:r>
              <w:t>2,5</w:t>
            </w:r>
          </w:p>
        </w:tc>
        <w:tc>
          <w:tcPr>
            <w:tcW w:w="1160" w:type="dxa"/>
          </w:tcPr>
          <w:p w:rsidR="007D4BA9" w:rsidRDefault="007D4BA9">
            <w:pPr>
              <w:pStyle w:val="ConsPlusNormal"/>
              <w:jc w:val="center"/>
            </w:pPr>
            <w:r>
              <w:t>2,5</w:t>
            </w:r>
          </w:p>
        </w:tc>
        <w:tc>
          <w:tcPr>
            <w:tcW w:w="1165" w:type="dxa"/>
          </w:tcPr>
          <w:p w:rsidR="007D4BA9" w:rsidRDefault="007D4BA9">
            <w:pPr>
              <w:pStyle w:val="ConsPlusNormal"/>
              <w:jc w:val="center"/>
            </w:pPr>
            <w:r>
              <w:t>2,5</w:t>
            </w:r>
          </w:p>
        </w:tc>
        <w:tc>
          <w:tcPr>
            <w:tcW w:w="1161" w:type="dxa"/>
          </w:tcPr>
          <w:p w:rsidR="007D4BA9" w:rsidRDefault="007D4BA9">
            <w:pPr>
              <w:pStyle w:val="ConsPlusNormal"/>
              <w:jc w:val="center"/>
            </w:pPr>
            <w:r>
              <w:t>2,5</w:t>
            </w:r>
          </w:p>
        </w:tc>
        <w:tc>
          <w:tcPr>
            <w:tcW w:w="2381" w:type="dxa"/>
          </w:tcPr>
          <w:p w:rsidR="007D4BA9" w:rsidRDefault="007D4BA9">
            <w:pPr>
              <w:pStyle w:val="ConsPlusNormal"/>
              <w:jc w:val="center"/>
            </w:pPr>
            <w:r>
              <w:t>2,5</w:t>
            </w:r>
          </w:p>
        </w:tc>
      </w:tr>
      <w:tr w:rsidR="007D4BA9">
        <w:tc>
          <w:tcPr>
            <w:tcW w:w="4252" w:type="dxa"/>
          </w:tcPr>
          <w:p w:rsidR="007D4BA9" w:rsidRDefault="007D4BA9">
            <w:pPr>
              <w:pStyle w:val="ConsPlusNormal"/>
            </w:pPr>
            <w:r>
              <w:t xml:space="preserve">Площадь одного </w:t>
            </w:r>
            <w:proofErr w:type="spellStart"/>
            <w:r>
              <w:t>машино</w:t>
            </w:r>
            <w:proofErr w:type="spellEnd"/>
            <w:r>
              <w:t>-места (без учета площади полосы маневрирования)</w:t>
            </w:r>
          </w:p>
          <w:p w:rsidR="007D4BA9" w:rsidRDefault="007D4BA9">
            <w:pPr>
              <w:pStyle w:val="ConsPlusNormal"/>
            </w:pPr>
            <w:r>
              <w:t>(S), кв. м</w:t>
            </w:r>
          </w:p>
        </w:tc>
        <w:tc>
          <w:tcPr>
            <w:tcW w:w="2438" w:type="dxa"/>
          </w:tcPr>
          <w:p w:rsidR="007D4BA9" w:rsidRDefault="007D4BA9">
            <w:pPr>
              <w:pStyle w:val="ConsPlusNormal"/>
              <w:jc w:val="center"/>
            </w:pPr>
            <w:r>
              <w:t>16,25</w:t>
            </w:r>
          </w:p>
        </w:tc>
        <w:tc>
          <w:tcPr>
            <w:tcW w:w="1013" w:type="dxa"/>
          </w:tcPr>
          <w:p w:rsidR="007D4BA9" w:rsidRDefault="007D4BA9">
            <w:pPr>
              <w:pStyle w:val="ConsPlusNormal"/>
              <w:jc w:val="center"/>
            </w:pPr>
            <w:r>
              <w:t>23,3</w:t>
            </w:r>
          </w:p>
        </w:tc>
        <w:tc>
          <w:tcPr>
            <w:tcW w:w="1160" w:type="dxa"/>
          </w:tcPr>
          <w:p w:rsidR="007D4BA9" w:rsidRDefault="007D4BA9">
            <w:pPr>
              <w:pStyle w:val="ConsPlusNormal"/>
              <w:jc w:val="center"/>
            </w:pPr>
            <w:r>
              <w:t>18,8</w:t>
            </w:r>
          </w:p>
        </w:tc>
        <w:tc>
          <w:tcPr>
            <w:tcW w:w="1165" w:type="dxa"/>
          </w:tcPr>
          <w:p w:rsidR="007D4BA9" w:rsidRDefault="007D4BA9">
            <w:pPr>
              <w:pStyle w:val="ConsPlusNormal"/>
              <w:jc w:val="center"/>
            </w:pPr>
            <w:r>
              <w:t>16,1</w:t>
            </w:r>
          </w:p>
        </w:tc>
        <w:tc>
          <w:tcPr>
            <w:tcW w:w="1161" w:type="dxa"/>
          </w:tcPr>
          <w:p w:rsidR="007D4BA9" w:rsidRDefault="007D4BA9">
            <w:pPr>
              <w:pStyle w:val="ConsPlusNormal"/>
              <w:jc w:val="center"/>
            </w:pPr>
            <w:r>
              <w:t>14,2</w:t>
            </w:r>
          </w:p>
        </w:tc>
        <w:tc>
          <w:tcPr>
            <w:tcW w:w="2381" w:type="dxa"/>
          </w:tcPr>
          <w:p w:rsidR="007D4BA9" w:rsidRDefault="007D4BA9">
            <w:pPr>
              <w:pStyle w:val="ConsPlusNormal"/>
              <w:jc w:val="center"/>
            </w:pPr>
            <w:r>
              <w:t>12,5</w:t>
            </w:r>
          </w:p>
        </w:tc>
      </w:tr>
      <w:tr w:rsidR="007D4BA9">
        <w:tc>
          <w:tcPr>
            <w:tcW w:w="4252" w:type="dxa"/>
          </w:tcPr>
          <w:p w:rsidR="007D4BA9" w:rsidRDefault="007D4BA9">
            <w:pPr>
              <w:pStyle w:val="ConsPlusNormal"/>
            </w:pPr>
            <w:r>
              <w:t xml:space="preserve">Ширина полосы </w:t>
            </w:r>
            <w:proofErr w:type="spellStart"/>
            <w:r>
              <w:t>паркирования</w:t>
            </w:r>
            <w:proofErr w:type="spellEnd"/>
            <w:r>
              <w:t xml:space="preserve"> (</w:t>
            </w:r>
            <w:proofErr w:type="spellStart"/>
            <w:r>
              <w:t>B</w:t>
            </w:r>
            <w:r>
              <w:rPr>
                <w:vertAlign w:val="subscript"/>
              </w:rPr>
              <w:t>p</w:t>
            </w:r>
            <w:proofErr w:type="spellEnd"/>
            <w:r>
              <w:t>), м</w:t>
            </w:r>
          </w:p>
        </w:tc>
        <w:tc>
          <w:tcPr>
            <w:tcW w:w="2438" w:type="dxa"/>
          </w:tcPr>
          <w:p w:rsidR="007D4BA9" w:rsidRDefault="007D4BA9">
            <w:pPr>
              <w:pStyle w:val="ConsPlusNormal"/>
              <w:jc w:val="center"/>
            </w:pPr>
            <w:r>
              <w:t>2,5</w:t>
            </w:r>
          </w:p>
        </w:tc>
        <w:tc>
          <w:tcPr>
            <w:tcW w:w="1013" w:type="dxa"/>
          </w:tcPr>
          <w:p w:rsidR="007D4BA9" w:rsidRDefault="007D4BA9">
            <w:pPr>
              <w:pStyle w:val="ConsPlusNormal"/>
              <w:jc w:val="center"/>
            </w:pPr>
            <w:r>
              <w:t>4,7</w:t>
            </w:r>
          </w:p>
        </w:tc>
        <w:tc>
          <w:tcPr>
            <w:tcW w:w="1160" w:type="dxa"/>
          </w:tcPr>
          <w:p w:rsidR="007D4BA9" w:rsidRDefault="007D4BA9">
            <w:pPr>
              <w:pStyle w:val="ConsPlusNormal"/>
              <w:jc w:val="center"/>
            </w:pPr>
            <w:r>
              <w:t>5,3</w:t>
            </w:r>
          </w:p>
        </w:tc>
        <w:tc>
          <w:tcPr>
            <w:tcW w:w="1165" w:type="dxa"/>
          </w:tcPr>
          <w:p w:rsidR="007D4BA9" w:rsidRDefault="007D4BA9">
            <w:pPr>
              <w:pStyle w:val="ConsPlusNormal"/>
              <w:jc w:val="center"/>
            </w:pPr>
            <w:r>
              <w:t>5,6</w:t>
            </w:r>
          </w:p>
        </w:tc>
        <w:tc>
          <w:tcPr>
            <w:tcW w:w="1161" w:type="dxa"/>
          </w:tcPr>
          <w:p w:rsidR="007D4BA9" w:rsidRDefault="007D4BA9">
            <w:pPr>
              <w:pStyle w:val="ConsPlusNormal"/>
              <w:jc w:val="center"/>
            </w:pPr>
            <w:r>
              <w:t>5,5</w:t>
            </w:r>
          </w:p>
        </w:tc>
        <w:tc>
          <w:tcPr>
            <w:tcW w:w="2381" w:type="dxa"/>
          </w:tcPr>
          <w:p w:rsidR="007D4BA9" w:rsidRDefault="007D4BA9">
            <w:pPr>
              <w:pStyle w:val="ConsPlusNormal"/>
              <w:jc w:val="center"/>
            </w:pPr>
            <w:r>
              <w:t>5,0</w:t>
            </w:r>
          </w:p>
        </w:tc>
      </w:tr>
      <w:tr w:rsidR="007D4BA9">
        <w:tblPrEx>
          <w:tblBorders>
            <w:insideH w:val="nil"/>
          </w:tblBorders>
        </w:tblPrEx>
        <w:tc>
          <w:tcPr>
            <w:tcW w:w="4252" w:type="dxa"/>
            <w:tcBorders>
              <w:bottom w:val="nil"/>
            </w:tcBorders>
          </w:tcPr>
          <w:p w:rsidR="007D4BA9" w:rsidRDefault="007D4BA9">
            <w:pPr>
              <w:pStyle w:val="ConsPlusNormal"/>
            </w:pPr>
            <w:r>
              <w:t xml:space="preserve">Характеристики парковочных модулей при разметке </w:t>
            </w:r>
            <w:proofErr w:type="spellStart"/>
            <w:r>
              <w:t>машино</w:t>
            </w:r>
            <w:proofErr w:type="spellEnd"/>
            <w:r>
              <w:t>-мест (d</w:t>
            </w:r>
            <w:r>
              <w:rPr>
                <w:vertAlign w:val="subscript"/>
              </w:rPr>
              <w:t>1</w:t>
            </w:r>
            <w:r>
              <w:t xml:space="preserve"> и d</w:t>
            </w:r>
            <w:r>
              <w:rPr>
                <w:vertAlign w:val="subscript"/>
              </w:rPr>
              <w:t>2</w:t>
            </w:r>
            <w:r>
              <w:t>):</w:t>
            </w:r>
          </w:p>
        </w:tc>
        <w:tc>
          <w:tcPr>
            <w:tcW w:w="2438" w:type="dxa"/>
            <w:tcBorders>
              <w:bottom w:val="nil"/>
            </w:tcBorders>
          </w:tcPr>
          <w:p w:rsidR="007D4BA9" w:rsidRDefault="007D4BA9">
            <w:pPr>
              <w:pStyle w:val="ConsPlusNormal"/>
            </w:pPr>
          </w:p>
        </w:tc>
        <w:tc>
          <w:tcPr>
            <w:tcW w:w="1013" w:type="dxa"/>
            <w:tcBorders>
              <w:bottom w:val="nil"/>
            </w:tcBorders>
          </w:tcPr>
          <w:p w:rsidR="007D4BA9" w:rsidRDefault="007D4BA9">
            <w:pPr>
              <w:pStyle w:val="ConsPlusNormal"/>
            </w:pPr>
          </w:p>
        </w:tc>
        <w:tc>
          <w:tcPr>
            <w:tcW w:w="1160" w:type="dxa"/>
            <w:tcBorders>
              <w:bottom w:val="nil"/>
            </w:tcBorders>
          </w:tcPr>
          <w:p w:rsidR="007D4BA9" w:rsidRDefault="007D4BA9">
            <w:pPr>
              <w:pStyle w:val="ConsPlusNormal"/>
            </w:pPr>
          </w:p>
        </w:tc>
        <w:tc>
          <w:tcPr>
            <w:tcW w:w="1165" w:type="dxa"/>
            <w:tcBorders>
              <w:bottom w:val="nil"/>
            </w:tcBorders>
          </w:tcPr>
          <w:p w:rsidR="007D4BA9" w:rsidRDefault="007D4BA9">
            <w:pPr>
              <w:pStyle w:val="ConsPlusNormal"/>
            </w:pPr>
          </w:p>
        </w:tc>
        <w:tc>
          <w:tcPr>
            <w:tcW w:w="1161" w:type="dxa"/>
            <w:tcBorders>
              <w:bottom w:val="nil"/>
            </w:tcBorders>
          </w:tcPr>
          <w:p w:rsidR="007D4BA9" w:rsidRDefault="007D4BA9">
            <w:pPr>
              <w:pStyle w:val="ConsPlusNormal"/>
            </w:pPr>
          </w:p>
        </w:tc>
        <w:tc>
          <w:tcPr>
            <w:tcW w:w="2381" w:type="dxa"/>
            <w:tcBorders>
              <w:bottom w:val="nil"/>
            </w:tcBorders>
          </w:tcPr>
          <w:p w:rsidR="007D4BA9" w:rsidRDefault="007D4BA9">
            <w:pPr>
              <w:pStyle w:val="ConsPlusNormal"/>
            </w:pPr>
          </w:p>
        </w:tc>
      </w:tr>
      <w:tr w:rsidR="007D4BA9">
        <w:tblPrEx>
          <w:tblBorders>
            <w:insideH w:val="nil"/>
          </w:tblBorders>
        </w:tblPrEx>
        <w:tc>
          <w:tcPr>
            <w:tcW w:w="4252" w:type="dxa"/>
            <w:tcBorders>
              <w:top w:val="nil"/>
              <w:bottom w:val="nil"/>
            </w:tcBorders>
          </w:tcPr>
          <w:p w:rsidR="007D4BA9" w:rsidRDefault="007D4BA9">
            <w:pPr>
              <w:pStyle w:val="ConsPlusNormal"/>
            </w:pPr>
            <w:r>
              <w:t>d</w:t>
            </w:r>
            <w:r>
              <w:rPr>
                <w:vertAlign w:val="subscript"/>
              </w:rPr>
              <w:t>1</w:t>
            </w:r>
            <w:r>
              <w:t xml:space="preserve"> - расстояние между двумя линиями модуля по оси разметки;</w:t>
            </w:r>
          </w:p>
        </w:tc>
        <w:tc>
          <w:tcPr>
            <w:tcW w:w="2438" w:type="dxa"/>
            <w:tcBorders>
              <w:top w:val="nil"/>
              <w:bottom w:val="nil"/>
            </w:tcBorders>
          </w:tcPr>
          <w:p w:rsidR="007D4BA9" w:rsidRDefault="007D4BA9">
            <w:pPr>
              <w:pStyle w:val="ConsPlusNormal"/>
              <w:jc w:val="center"/>
            </w:pPr>
            <w:r>
              <w:t>6,5;</w:t>
            </w:r>
          </w:p>
        </w:tc>
        <w:tc>
          <w:tcPr>
            <w:tcW w:w="1013" w:type="dxa"/>
            <w:tcBorders>
              <w:top w:val="nil"/>
              <w:bottom w:val="nil"/>
            </w:tcBorders>
          </w:tcPr>
          <w:p w:rsidR="007D4BA9" w:rsidRDefault="007D4BA9">
            <w:pPr>
              <w:pStyle w:val="ConsPlusNormal"/>
              <w:jc w:val="center"/>
            </w:pPr>
            <w:r>
              <w:t>5,0;</w:t>
            </w:r>
          </w:p>
        </w:tc>
        <w:tc>
          <w:tcPr>
            <w:tcW w:w="1160" w:type="dxa"/>
            <w:tcBorders>
              <w:top w:val="nil"/>
              <w:bottom w:val="nil"/>
            </w:tcBorders>
          </w:tcPr>
          <w:p w:rsidR="007D4BA9" w:rsidRDefault="007D4BA9">
            <w:pPr>
              <w:pStyle w:val="ConsPlusNormal"/>
              <w:jc w:val="center"/>
            </w:pPr>
            <w:r>
              <w:t>3,54;</w:t>
            </w:r>
          </w:p>
        </w:tc>
        <w:tc>
          <w:tcPr>
            <w:tcW w:w="1165" w:type="dxa"/>
            <w:tcBorders>
              <w:top w:val="nil"/>
              <w:bottom w:val="nil"/>
            </w:tcBorders>
          </w:tcPr>
          <w:p w:rsidR="007D4BA9" w:rsidRDefault="007D4BA9">
            <w:pPr>
              <w:pStyle w:val="ConsPlusNormal"/>
              <w:jc w:val="center"/>
            </w:pPr>
            <w:r>
              <w:t>2,89;</w:t>
            </w:r>
          </w:p>
        </w:tc>
        <w:tc>
          <w:tcPr>
            <w:tcW w:w="1161" w:type="dxa"/>
            <w:tcBorders>
              <w:top w:val="nil"/>
              <w:bottom w:val="nil"/>
            </w:tcBorders>
          </w:tcPr>
          <w:p w:rsidR="007D4BA9" w:rsidRDefault="007D4BA9">
            <w:pPr>
              <w:pStyle w:val="ConsPlusNormal"/>
              <w:jc w:val="center"/>
            </w:pPr>
            <w:r>
              <w:t>2,59;</w:t>
            </w:r>
          </w:p>
        </w:tc>
        <w:tc>
          <w:tcPr>
            <w:tcW w:w="2381" w:type="dxa"/>
            <w:tcBorders>
              <w:top w:val="nil"/>
              <w:bottom w:val="nil"/>
            </w:tcBorders>
          </w:tcPr>
          <w:p w:rsidR="007D4BA9" w:rsidRDefault="007D4BA9">
            <w:pPr>
              <w:pStyle w:val="ConsPlusNormal"/>
              <w:jc w:val="center"/>
            </w:pPr>
            <w:r>
              <w:t>2,5;</w:t>
            </w:r>
          </w:p>
        </w:tc>
      </w:tr>
      <w:tr w:rsidR="007D4BA9">
        <w:tblPrEx>
          <w:tblBorders>
            <w:insideH w:val="nil"/>
          </w:tblBorders>
        </w:tblPrEx>
        <w:tc>
          <w:tcPr>
            <w:tcW w:w="4252" w:type="dxa"/>
            <w:tcBorders>
              <w:top w:val="nil"/>
            </w:tcBorders>
          </w:tcPr>
          <w:p w:rsidR="007D4BA9" w:rsidRDefault="007D4BA9">
            <w:pPr>
              <w:pStyle w:val="ConsPlusNormal"/>
            </w:pPr>
            <w:r>
              <w:t>d</w:t>
            </w:r>
            <w:r>
              <w:rPr>
                <w:vertAlign w:val="subscript"/>
              </w:rPr>
              <w:t>2</w:t>
            </w:r>
            <w:r>
              <w:t xml:space="preserve"> - длина проекции продольной линии модуля</w:t>
            </w:r>
          </w:p>
        </w:tc>
        <w:tc>
          <w:tcPr>
            <w:tcW w:w="2438" w:type="dxa"/>
            <w:tcBorders>
              <w:top w:val="nil"/>
            </w:tcBorders>
          </w:tcPr>
          <w:p w:rsidR="007D4BA9" w:rsidRDefault="007D4BA9">
            <w:pPr>
              <w:pStyle w:val="ConsPlusNormal"/>
              <w:jc w:val="center"/>
            </w:pPr>
            <w:r>
              <w:t>не менее 6,5</w:t>
            </w:r>
          </w:p>
        </w:tc>
        <w:tc>
          <w:tcPr>
            <w:tcW w:w="1013" w:type="dxa"/>
            <w:tcBorders>
              <w:top w:val="nil"/>
            </w:tcBorders>
          </w:tcPr>
          <w:p w:rsidR="007D4BA9" w:rsidRDefault="007D4BA9">
            <w:pPr>
              <w:pStyle w:val="ConsPlusNormal"/>
              <w:jc w:val="center"/>
            </w:pPr>
            <w:r>
              <w:t>8,08</w:t>
            </w:r>
          </w:p>
        </w:tc>
        <w:tc>
          <w:tcPr>
            <w:tcW w:w="1160" w:type="dxa"/>
            <w:tcBorders>
              <w:top w:val="nil"/>
            </w:tcBorders>
          </w:tcPr>
          <w:p w:rsidR="007D4BA9" w:rsidRDefault="007D4BA9">
            <w:pPr>
              <w:pStyle w:val="ConsPlusNormal"/>
              <w:jc w:val="center"/>
            </w:pPr>
            <w:r>
              <w:t>5,3</w:t>
            </w:r>
          </w:p>
        </w:tc>
        <w:tc>
          <w:tcPr>
            <w:tcW w:w="1165" w:type="dxa"/>
            <w:tcBorders>
              <w:top w:val="nil"/>
            </w:tcBorders>
          </w:tcPr>
          <w:p w:rsidR="007D4BA9" w:rsidRDefault="007D4BA9">
            <w:pPr>
              <w:pStyle w:val="ConsPlusNormal"/>
              <w:jc w:val="center"/>
            </w:pPr>
            <w:r>
              <w:t>3,22</w:t>
            </w:r>
          </w:p>
        </w:tc>
        <w:tc>
          <w:tcPr>
            <w:tcW w:w="1161" w:type="dxa"/>
            <w:tcBorders>
              <w:top w:val="nil"/>
            </w:tcBorders>
          </w:tcPr>
          <w:p w:rsidR="007D4BA9" w:rsidRDefault="007D4BA9">
            <w:pPr>
              <w:pStyle w:val="ConsPlusNormal"/>
              <w:jc w:val="center"/>
            </w:pPr>
            <w:r>
              <w:t>1,47</w:t>
            </w:r>
          </w:p>
        </w:tc>
        <w:tc>
          <w:tcPr>
            <w:tcW w:w="2381" w:type="dxa"/>
            <w:tcBorders>
              <w:top w:val="nil"/>
            </w:tcBorders>
          </w:tcPr>
          <w:p w:rsidR="007D4BA9" w:rsidRDefault="007D4BA9">
            <w:pPr>
              <w:pStyle w:val="ConsPlusNormal"/>
              <w:jc w:val="center"/>
            </w:pPr>
            <w:r>
              <w:t>0</w:t>
            </w:r>
          </w:p>
        </w:tc>
      </w:tr>
      <w:tr w:rsidR="007D4BA9">
        <w:tc>
          <w:tcPr>
            <w:tcW w:w="4252" w:type="dxa"/>
          </w:tcPr>
          <w:p w:rsidR="007D4BA9" w:rsidRDefault="007D4BA9">
            <w:pPr>
              <w:pStyle w:val="ConsPlusNormal"/>
            </w:pPr>
            <w:r>
              <w:t>Минимальная ширина полосы маневрирования (ширина проезда) (</w:t>
            </w:r>
            <w:proofErr w:type="spellStart"/>
            <w:r>
              <w:t>B</w:t>
            </w:r>
            <w:r>
              <w:rPr>
                <w:vertAlign w:val="subscript"/>
              </w:rPr>
              <w:t>m</w:t>
            </w:r>
            <w:proofErr w:type="spellEnd"/>
            <w:r>
              <w:t>), м</w:t>
            </w:r>
          </w:p>
        </w:tc>
        <w:tc>
          <w:tcPr>
            <w:tcW w:w="2438" w:type="dxa"/>
          </w:tcPr>
          <w:p w:rsidR="007D4BA9" w:rsidRDefault="007D4BA9">
            <w:pPr>
              <w:pStyle w:val="ConsPlusNormal"/>
              <w:jc w:val="center"/>
            </w:pPr>
            <w:r>
              <w:t>3,0</w:t>
            </w:r>
          </w:p>
        </w:tc>
        <w:tc>
          <w:tcPr>
            <w:tcW w:w="1013" w:type="dxa"/>
          </w:tcPr>
          <w:p w:rsidR="007D4BA9" w:rsidRDefault="007D4BA9">
            <w:pPr>
              <w:pStyle w:val="ConsPlusNormal"/>
              <w:jc w:val="center"/>
            </w:pPr>
            <w:r>
              <w:t>4,0</w:t>
            </w:r>
          </w:p>
        </w:tc>
        <w:tc>
          <w:tcPr>
            <w:tcW w:w="1160" w:type="dxa"/>
          </w:tcPr>
          <w:p w:rsidR="007D4BA9" w:rsidRDefault="007D4BA9">
            <w:pPr>
              <w:pStyle w:val="ConsPlusNormal"/>
              <w:jc w:val="center"/>
            </w:pPr>
            <w:r>
              <w:t>4,5</w:t>
            </w:r>
          </w:p>
        </w:tc>
        <w:tc>
          <w:tcPr>
            <w:tcW w:w="1165" w:type="dxa"/>
          </w:tcPr>
          <w:p w:rsidR="007D4BA9" w:rsidRDefault="007D4BA9">
            <w:pPr>
              <w:pStyle w:val="ConsPlusNormal"/>
              <w:jc w:val="center"/>
            </w:pPr>
            <w:r>
              <w:t>5,5</w:t>
            </w:r>
          </w:p>
        </w:tc>
        <w:tc>
          <w:tcPr>
            <w:tcW w:w="1161" w:type="dxa"/>
          </w:tcPr>
          <w:p w:rsidR="007D4BA9" w:rsidRDefault="007D4BA9">
            <w:pPr>
              <w:pStyle w:val="ConsPlusNormal"/>
              <w:jc w:val="center"/>
            </w:pPr>
            <w:r>
              <w:t>5,7</w:t>
            </w:r>
          </w:p>
        </w:tc>
        <w:tc>
          <w:tcPr>
            <w:tcW w:w="2381" w:type="dxa"/>
          </w:tcPr>
          <w:p w:rsidR="007D4BA9" w:rsidRDefault="007D4BA9">
            <w:pPr>
              <w:pStyle w:val="ConsPlusNormal"/>
              <w:jc w:val="center"/>
            </w:pPr>
            <w:r>
              <w:t>6,0</w:t>
            </w:r>
          </w:p>
        </w:tc>
      </w:tr>
      <w:tr w:rsidR="007D4BA9">
        <w:tc>
          <w:tcPr>
            <w:tcW w:w="4252" w:type="dxa"/>
          </w:tcPr>
          <w:p w:rsidR="007D4BA9" w:rsidRDefault="007D4BA9">
            <w:pPr>
              <w:pStyle w:val="ConsPlusNormal"/>
            </w:pPr>
            <w:r>
              <w:t xml:space="preserve">Ширина зоны </w:t>
            </w:r>
            <w:proofErr w:type="spellStart"/>
            <w:r>
              <w:t>паркирования</w:t>
            </w:r>
            <w:proofErr w:type="spellEnd"/>
            <w:r>
              <w:t xml:space="preserve"> (</w:t>
            </w:r>
            <w:proofErr w:type="spellStart"/>
            <w:r>
              <w:t>B</w:t>
            </w:r>
            <w:r>
              <w:rPr>
                <w:vertAlign w:val="subscript"/>
              </w:rPr>
              <w:t>d</w:t>
            </w:r>
            <w:proofErr w:type="spellEnd"/>
            <w:r>
              <w:t xml:space="preserve">), включая полосу </w:t>
            </w:r>
            <w:proofErr w:type="spellStart"/>
            <w:r>
              <w:t>паркирования</w:t>
            </w:r>
            <w:proofErr w:type="spellEnd"/>
            <w:r>
              <w:t xml:space="preserve"> и полосу маневрирования (</w:t>
            </w:r>
            <w:proofErr w:type="spellStart"/>
            <w:r>
              <w:t>B</w:t>
            </w:r>
            <w:r>
              <w:rPr>
                <w:vertAlign w:val="subscript"/>
              </w:rPr>
              <w:t>r</w:t>
            </w:r>
            <w:proofErr w:type="spellEnd"/>
            <w:r>
              <w:t xml:space="preserve"> + </w:t>
            </w:r>
            <w:proofErr w:type="spellStart"/>
            <w:r>
              <w:t>B</w:t>
            </w:r>
            <w:r>
              <w:rPr>
                <w:vertAlign w:val="subscript"/>
              </w:rPr>
              <w:t>m</w:t>
            </w:r>
            <w:proofErr w:type="spellEnd"/>
            <w:r>
              <w:t>), м</w:t>
            </w:r>
          </w:p>
        </w:tc>
        <w:tc>
          <w:tcPr>
            <w:tcW w:w="2438" w:type="dxa"/>
          </w:tcPr>
          <w:p w:rsidR="007D4BA9" w:rsidRDefault="007D4BA9">
            <w:pPr>
              <w:pStyle w:val="ConsPlusNormal"/>
              <w:jc w:val="center"/>
            </w:pPr>
            <w:r>
              <w:t>5,5</w:t>
            </w:r>
          </w:p>
        </w:tc>
        <w:tc>
          <w:tcPr>
            <w:tcW w:w="1013" w:type="dxa"/>
          </w:tcPr>
          <w:p w:rsidR="007D4BA9" w:rsidRDefault="007D4BA9">
            <w:pPr>
              <w:pStyle w:val="ConsPlusNormal"/>
              <w:jc w:val="center"/>
            </w:pPr>
            <w:r>
              <w:t>8,7</w:t>
            </w:r>
          </w:p>
        </w:tc>
        <w:tc>
          <w:tcPr>
            <w:tcW w:w="1160" w:type="dxa"/>
          </w:tcPr>
          <w:p w:rsidR="007D4BA9" w:rsidRDefault="007D4BA9">
            <w:pPr>
              <w:pStyle w:val="ConsPlusNormal"/>
              <w:jc w:val="center"/>
            </w:pPr>
            <w:r>
              <w:t>9,8</w:t>
            </w:r>
          </w:p>
        </w:tc>
        <w:tc>
          <w:tcPr>
            <w:tcW w:w="1165" w:type="dxa"/>
          </w:tcPr>
          <w:p w:rsidR="007D4BA9" w:rsidRDefault="007D4BA9">
            <w:pPr>
              <w:pStyle w:val="ConsPlusNormal"/>
              <w:jc w:val="center"/>
            </w:pPr>
            <w:r>
              <w:t>11,1</w:t>
            </w:r>
          </w:p>
        </w:tc>
        <w:tc>
          <w:tcPr>
            <w:tcW w:w="1161" w:type="dxa"/>
          </w:tcPr>
          <w:p w:rsidR="007D4BA9" w:rsidRDefault="007D4BA9">
            <w:pPr>
              <w:pStyle w:val="ConsPlusNormal"/>
              <w:jc w:val="center"/>
            </w:pPr>
            <w:r>
              <w:t>11,2</w:t>
            </w:r>
          </w:p>
        </w:tc>
        <w:tc>
          <w:tcPr>
            <w:tcW w:w="2381" w:type="dxa"/>
          </w:tcPr>
          <w:p w:rsidR="007D4BA9" w:rsidRDefault="007D4BA9">
            <w:pPr>
              <w:pStyle w:val="ConsPlusNormal"/>
              <w:jc w:val="center"/>
            </w:pPr>
            <w:r>
              <w:t>11,0</w:t>
            </w:r>
          </w:p>
        </w:tc>
      </w:tr>
      <w:tr w:rsidR="007D4BA9">
        <w:tc>
          <w:tcPr>
            <w:tcW w:w="4252" w:type="dxa"/>
          </w:tcPr>
          <w:p w:rsidR="007D4BA9" w:rsidRDefault="007D4BA9">
            <w:pPr>
              <w:pStyle w:val="ConsPlusNormal"/>
            </w:pPr>
            <w:r>
              <w:lastRenderedPageBreak/>
              <w:t xml:space="preserve">Линейная плотность </w:t>
            </w:r>
            <w:proofErr w:type="spellStart"/>
            <w:r>
              <w:t>паркирования</w:t>
            </w:r>
            <w:proofErr w:type="spellEnd"/>
            <w:r>
              <w:t xml:space="preserve"> (p), ед. на 100 м</w:t>
            </w:r>
          </w:p>
        </w:tc>
        <w:tc>
          <w:tcPr>
            <w:tcW w:w="2438" w:type="dxa"/>
          </w:tcPr>
          <w:p w:rsidR="007D4BA9" w:rsidRDefault="007D4BA9">
            <w:pPr>
              <w:pStyle w:val="ConsPlusNormal"/>
              <w:jc w:val="center"/>
            </w:pPr>
            <w:r>
              <w:t>15</w:t>
            </w:r>
          </w:p>
        </w:tc>
        <w:tc>
          <w:tcPr>
            <w:tcW w:w="1013" w:type="dxa"/>
          </w:tcPr>
          <w:p w:rsidR="007D4BA9" w:rsidRDefault="007D4BA9">
            <w:pPr>
              <w:pStyle w:val="ConsPlusNormal"/>
              <w:jc w:val="center"/>
            </w:pPr>
            <w:r>
              <w:t>20</w:t>
            </w:r>
          </w:p>
        </w:tc>
        <w:tc>
          <w:tcPr>
            <w:tcW w:w="1160" w:type="dxa"/>
          </w:tcPr>
          <w:p w:rsidR="007D4BA9" w:rsidRDefault="007D4BA9">
            <w:pPr>
              <w:pStyle w:val="ConsPlusNormal"/>
              <w:jc w:val="center"/>
            </w:pPr>
            <w:r>
              <w:t>28</w:t>
            </w:r>
          </w:p>
        </w:tc>
        <w:tc>
          <w:tcPr>
            <w:tcW w:w="1165" w:type="dxa"/>
          </w:tcPr>
          <w:p w:rsidR="007D4BA9" w:rsidRDefault="007D4BA9">
            <w:pPr>
              <w:pStyle w:val="ConsPlusNormal"/>
              <w:jc w:val="center"/>
            </w:pPr>
            <w:r>
              <w:t>34</w:t>
            </w:r>
          </w:p>
        </w:tc>
        <w:tc>
          <w:tcPr>
            <w:tcW w:w="1161" w:type="dxa"/>
          </w:tcPr>
          <w:p w:rsidR="007D4BA9" w:rsidRDefault="007D4BA9">
            <w:pPr>
              <w:pStyle w:val="ConsPlusNormal"/>
              <w:jc w:val="center"/>
            </w:pPr>
            <w:r>
              <w:t>38</w:t>
            </w:r>
          </w:p>
        </w:tc>
        <w:tc>
          <w:tcPr>
            <w:tcW w:w="2381" w:type="dxa"/>
          </w:tcPr>
          <w:p w:rsidR="007D4BA9" w:rsidRDefault="007D4BA9">
            <w:pPr>
              <w:pStyle w:val="ConsPlusNormal"/>
              <w:jc w:val="center"/>
            </w:pPr>
            <w:r>
              <w:t>40</w:t>
            </w:r>
          </w:p>
        </w:tc>
      </w:tr>
    </w:tbl>
    <w:p w:rsidR="007D4BA9" w:rsidRDefault="007D4BA9">
      <w:pPr>
        <w:pStyle w:val="ConsPlusNormal"/>
        <w:sectPr w:rsidR="007D4BA9">
          <w:pgSz w:w="16838" w:h="11905" w:orient="landscape"/>
          <w:pgMar w:top="1701" w:right="1134" w:bottom="850" w:left="1134" w:header="0" w:footer="0" w:gutter="0"/>
          <w:cols w:space="720"/>
          <w:titlePg/>
        </w:sectPr>
      </w:pPr>
    </w:p>
    <w:p w:rsidR="007D4BA9" w:rsidRDefault="007D4BA9">
      <w:pPr>
        <w:pStyle w:val="ConsPlusNormal"/>
        <w:jc w:val="both"/>
      </w:pPr>
    </w:p>
    <w:p w:rsidR="007D4BA9" w:rsidRDefault="007D4BA9">
      <w:pPr>
        <w:pStyle w:val="ConsPlusNormal"/>
        <w:ind w:firstLine="540"/>
        <w:jc w:val="both"/>
      </w:pPr>
      <w:r>
        <w:t>Примечание.</w:t>
      </w:r>
    </w:p>
    <w:p w:rsidR="007D4BA9" w:rsidRDefault="007D4BA9">
      <w:pPr>
        <w:pStyle w:val="ConsPlusNormal"/>
        <w:spacing w:before="220"/>
        <w:ind w:firstLine="540"/>
        <w:jc w:val="both"/>
      </w:pPr>
      <w:r>
        <w:t xml:space="preserve">1. </w:t>
      </w:r>
      <w:proofErr w:type="spellStart"/>
      <w:r>
        <w:t>B</w:t>
      </w:r>
      <w:r>
        <w:rPr>
          <w:vertAlign w:val="subscript"/>
        </w:rPr>
        <w:t>m</w:t>
      </w:r>
      <w:proofErr w:type="spellEnd"/>
      <w:r>
        <w:t xml:space="preserve"> - минимальная ширина проезда, необходимая для совершения маневров заезда и выезда автомобиля на </w:t>
      </w:r>
      <w:proofErr w:type="spellStart"/>
      <w:r>
        <w:t>машино</w:t>
      </w:r>
      <w:proofErr w:type="spellEnd"/>
      <w:r>
        <w:t xml:space="preserve">-место. Полоса маневрирования не выделяется </w:t>
      </w:r>
      <w:proofErr w:type="spellStart"/>
      <w:r>
        <w:t>планировочно</w:t>
      </w:r>
      <w:proofErr w:type="spellEnd"/>
      <w:r>
        <w:t xml:space="preserve"> как самостоятельная полоса, для маневра используется имеющиеся проезд/полоса движения. При этом не допускается выезд автомобиля на встречную полосу при совершении маневров заезда и выезда на </w:t>
      </w:r>
      <w:proofErr w:type="spellStart"/>
      <w:r>
        <w:t>машино</w:t>
      </w:r>
      <w:proofErr w:type="spellEnd"/>
      <w:r>
        <w:t>-место.</w:t>
      </w:r>
    </w:p>
    <w:p w:rsidR="007D4BA9" w:rsidRDefault="007D4BA9">
      <w:pPr>
        <w:pStyle w:val="ConsPlusNormal"/>
        <w:jc w:val="both"/>
      </w:pPr>
    </w:p>
    <w:p w:rsidR="007D4BA9" w:rsidRDefault="007D4BA9">
      <w:pPr>
        <w:pStyle w:val="ConsPlusTitle"/>
        <w:jc w:val="center"/>
        <w:outlineLvl w:val="2"/>
      </w:pPr>
      <w:r>
        <w:t>Глава 34. ОБЪЕКТЫ ПАССАЖИРСКОГО ОБЩЕСТВЕННОГО ТРАНСПОРТА</w:t>
      </w:r>
    </w:p>
    <w:p w:rsidR="007D4BA9" w:rsidRDefault="007D4BA9">
      <w:pPr>
        <w:pStyle w:val="ConsPlusNormal"/>
        <w:jc w:val="both"/>
      </w:pPr>
    </w:p>
    <w:p w:rsidR="007D4BA9" w:rsidRDefault="007D4BA9">
      <w:pPr>
        <w:pStyle w:val="ConsPlusNormal"/>
        <w:ind w:firstLine="540"/>
        <w:jc w:val="both"/>
      </w:pPr>
      <w:r>
        <w:t xml:space="preserve">214. Плотность транспортной сети наземного пассажирского транспорта на территории общегородских центров города </w:t>
      </w:r>
      <w:r w:rsidR="000B30E9">
        <w:t>Нижнекамск</w:t>
      </w:r>
      <w:r>
        <w:t xml:space="preserve"> принимается не менее показателя плотности магистральной сети на застроенной территории.</w:t>
      </w:r>
    </w:p>
    <w:p w:rsidR="007D4BA9" w:rsidRDefault="007D4BA9">
      <w:pPr>
        <w:pStyle w:val="ConsPlusNormal"/>
        <w:jc w:val="both"/>
      </w:pPr>
    </w:p>
    <w:p w:rsidR="007D4BA9" w:rsidRDefault="007D4BA9">
      <w:pPr>
        <w:pStyle w:val="ConsPlusTitle"/>
        <w:jc w:val="center"/>
        <w:outlineLvl w:val="2"/>
      </w:pPr>
      <w:r>
        <w:t>Глава 35. ДИФФЕРЕНЦИРОВАННЫЕ ПОКАЗАТЕЛИ ТЕРРИТОРИАЛЬНОЙ</w:t>
      </w:r>
    </w:p>
    <w:p w:rsidR="007D4BA9" w:rsidRDefault="007D4BA9">
      <w:pPr>
        <w:pStyle w:val="ConsPlusTitle"/>
        <w:jc w:val="center"/>
      </w:pPr>
      <w:r>
        <w:t>ДОСТУПНОСТИ ПО ТИПАМ И ВИДАМ ТЕРРИТОРИЙ</w:t>
      </w:r>
    </w:p>
    <w:p w:rsidR="007D4BA9" w:rsidRDefault="007D4BA9">
      <w:pPr>
        <w:pStyle w:val="ConsPlusNormal"/>
        <w:jc w:val="both"/>
      </w:pPr>
    </w:p>
    <w:p w:rsidR="007D4BA9" w:rsidRDefault="007D4BA9">
      <w:pPr>
        <w:pStyle w:val="ConsPlusNormal"/>
        <w:ind w:firstLine="540"/>
        <w:jc w:val="both"/>
      </w:pPr>
      <w:r>
        <w:t xml:space="preserve">215. Машино-места для </w:t>
      </w:r>
      <w:proofErr w:type="spellStart"/>
      <w:r>
        <w:t>паркирования</w:t>
      </w:r>
      <w:proofErr w:type="spellEnd"/>
      <w:r>
        <w:t xml:space="preserve"> легковых автомобилей работников и посетителей объектов общественно-деловых территорий определяются в соответствии с показателями таблицы 23.</w:t>
      </w:r>
    </w:p>
    <w:p w:rsidR="007D4BA9" w:rsidRDefault="007D4BA9">
      <w:pPr>
        <w:pStyle w:val="ConsPlusNormal"/>
        <w:jc w:val="both"/>
      </w:pPr>
    </w:p>
    <w:p w:rsidR="007D4BA9" w:rsidRDefault="007D4BA9">
      <w:pPr>
        <w:pStyle w:val="ConsPlusNormal"/>
        <w:jc w:val="right"/>
        <w:outlineLvl w:val="3"/>
      </w:pPr>
      <w:r>
        <w:t>Таблица 23</w:t>
      </w:r>
    </w:p>
    <w:p w:rsidR="007D4BA9" w:rsidRDefault="007D4BA9">
      <w:pPr>
        <w:pStyle w:val="ConsPlusNormal"/>
        <w:jc w:val="both"/>
      </w:pPr>
    </w:p>
    <w:p w:rsidR="007D4BA9" w:rsidRDefault="007D4BA9">
      <w:pPr>
        <w:pStyle w:val="ConsPlusTitle"/>
        <w:jc w:val="center"/>
      </w:pPr>
      <w:r>
        <w:t xml:space="preserve">Машино-места для </w:t>
      </w:r>
      <w:proofErr w:type="spellStart"/>
      <w:r>
        <w:t>паркирования</w:t>
      </w:r>
      <w:proofErr w:type="spellEnd"/>
      <w:r>
        <w:t xml:space="preserve"> легковых автомобилей</w:t>
      </w:r>
    </w:p>
    <w:p w:rsidR="007D4BA9" w:rsidRDefault="007D4BA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01"/>
        <w:gridCol w:w="2494"/>
        <w:gridCol w:w="4309"/>
      </w:tblGrid>
      <w:tr w:rsidR="007D4BA9">
        <w:tc>
          <w:tcPr>
            <w:tcW w:w="2201" w:type="dxa"/>
          </w:tcPr>
          <w:p w:rsidR="007D4BA9" w:rsidRDefault="007D4BA9">
            <w:pPr>
              <w:pStyle w:val="ConsPlusNormal"/>
              <w:jc w:val="center"/>
            </w:pPr>
            <w:r>
              <w:t>Виды автостоянок</w:t>
            </w:r>
          </w:p>
        </w:tc>
        <w:tc>
          <w:tcPr>
            <w:tcW w:w="2494" w:type="dxa"/>
          </w:tcPr>
          <w:p w:rsidR="007D4BA9" w:rsidRDefault="007D4BA9">
            <w:pPr>
              <w:pStyle w:val="ConsPlusNormal"/>
              <w:jc w:val="center"/>
            </w:pPr>
            <w:r>
              <w:t>Назначение и размещение</w:t>
            </w:r>
          </w:p>
        </w:tc>
        <w:tc>
          <w:tcPr>
            <w:tcW w:w="4309" w:type="dxa"/>
          </w:tcPr>
          <w:p w:rsidR="007D4BA9" w:rsidRDefault="007D4BA9">
            <w:pPr>
              <w:pStyle w:val="ConsPlusNormal"/>
              <w:jc w:val="center"/>
            </w:pPr>
            <w:r>
              <w:t>Расстояние до объектов обслуживания</w:t>
            </w:r>
          </w:p>
        </w:tc>
      </w:tr>
      <w:tr w:rsidR="007D4BA9">
        <w:tc>
          <w:tcPr>
            <w:tcW w:w="2201" w:type="dxa"/>
          </w:tcPr>
          <w:p w:rsidR="007D4BA9" w:rsidRDefault="007D4BA9">
            <w:pPr>
              <w:pStyle w:val="ConsPlusNormal"/>
            </w:pPr>
            <w:proofErr w:type="spellStart"/>
            <w:r>
              <w:t>Приобъектные</w:t>
            </w:r>
            <w:proofErr w:type="spellEnd"/>
          </w:p>
        </w:tc>
        <w:tc>
          <w:tcPr>
            <w:tcW w:w="2494" w:type="dxa"/>
          </w:tcPr>
          <w:p w:rsidR="007D4BA9" w:rsidRDefault="007D4BA9">
            <w:pPr>
              <w:pStyle w:val="ConsPlusNormal"/>
              <w:jc w:val="both"/>
            </w:pPr>
            <w:r>
              <w:t>Стоянки для обслуживания отдельных объектов</w:t>
            </w:r>
          </w:p>
        </w:tc>
        <w:tc>
          <w:tcPr>
            <w:tcW w:w="4309" w:type="dxa"/>
          </w:tcPr>
          <w:p w:rsidR="007D4BA9" w:rsidRDefault="007D4BA9">
            <w:pPr>
              <w:pStyle w:val="ConsPlusNormal"/>
              <w:jc w:val="both"/>
            </w:pPr>
            <w:r>
              <w:t>При новом строительстве размещаются непосредственно у объектов обслуживания на участке, выделенном под строительство.</w:t>
            </w:r>
          </w:p>
          <w:p w:rsidR="007D4BA9" w:rsidRDefault="007D4BA9">
            <w:pPr>
              <w:pStyle w:val="ConsPlusNormal"/>
              <w:jc w:val="both"/>
            </w:pPr>
            <w:r>
              <w:t>В условиях существующей застройки - на расстояниях до торговых центров, универмагов, гостиниц, поликлиник, пассажирских помещений вокзалов - не более 150 м; до прочих объектов - не более 400 м.</w:t>
            </w:r>
          </w:p>
          <w:p w:rsidR="007D4BA9" w:rsidRDefault="007D4BA9">
            <w:pPr>
              <w:pStyle w:val="ConsPlusNormal"/>
              <w:jc w:val="both"/>
            </w:pPr>
            <w:r>
              <w:t>Расстояния до входов на рекреационные территории - не более 250 м</w:t>
            </w:r>
          </w:p>
        </w:tc>
      </w:tr>
      <w:tr w:rsidR="007D4BA9">
        <w:tc>
          <w:tcPr>
            <w:tcW w:w="2201" w:type="dxa"/>
          </w:tcPr>
          <w:p w:rsidR="007D4BA9" w:rsidRDefault="007D4BA9">
            <w:pPr>
              <w:pStyle w:val="ConsPlusNormal"/>
            </w:pPr>
            <w:r>
              <w:t>Кооперированные (общего пользования)</w:t>
            </w:r>
          </w:p>
        </w:tc>
        <w:tc>
          <w:tcPr>
            <w:tcW w:w="2494" w:type="dxa"/>
          </w:tcPr>
          <w:p w:rsidR="007D4BA9" w:rsidRDefault="007D4BA9">
            <w:pPr>
              <w:pStyle w:val="ConsPlusNormal"/>
              <w:jc w:val="both"/>
            </w:pPr>
            <w:r>
              <w:t>Стоянки для обслуживания групп объектов. Размещаются с увеличением радиусов доступности</w:t>
            </w:r>
          </w:p>
        </w:tc>
        <w:tc>
          <w:tcPr>
            <w:tcW w:w="4309" w:type="dxa"/>
          </w:tcPr>
          <w:p w:rsidR="007D4BA9" w:rsidRDefault="007D4BA9">
            <w:pPr>
              <w:pStyle w:val="ConsPlusNormal"/>
              <w:jc w:val="both"/>
            </w:pPr>
            <w:r>
              <w:t>До наиболее удаленного объекта из обслуживаемой группы - радиус не более 500 м или пешеходная доступность - 800 м</w:t>
            </w:r>
          </w:p>
        </w:tc>
      </w:tr>
    </w:tbl>
    <w:p w:rsidR="007D4BA9" w:rsidRDefault="007D4BA9">
      <w:pPr>
        <w:pStyle w:val="ConsPlusNormal"/>
        <w:jc w:val="both"/>
      </w:pPr>
    </w:p>
    <w:p w:rsidR="007D4BA9" w:rsidRDefault="007D4BA9">
      <w:pPr>
        <w:pStyle w:val="ConsPlusNormal"/>
        <w:ind w:firstLine="540"/>
        <w:jc w:val="both"/>
      </w:pPr>
      <w:r>
        <w:t xml:space="preserve">216. На всех видах стоянок предусматриваются </w:t>
      </w:r>
      <w:proofErr w:type="spellStart"/>
      <w:r>
        <w:t>машино</w:t>
      </w:r>
      <w:proofErr w:type="spellEnd"/>
      <w:r>
        <w:t xml:space="preserve">-места для маломобильных групп населения в соответствии с требованиями </w:t>
      </w:r>
      <w:hyperlink r:id="rId66">
        <w:r>
          <w:rPr>
            <w:color w:val="0000FF"/>
          </w:rPr>
          <w:t>СП 59.13330.2020</w:t>
        </w:r>
      </w:hyperlink>
      <w:r>
        <w:t>.</w:t>
      </w:r>
    </w:p>
    <w:p w:rsidR="007D4BA9" w:rsidRDefault="007D4BA9">
      <w:pPr>
        <w:pStyle w:val="ConsPlusNormal"/>
        <w:jc w:val="both"/>
      </w:pPr>
    </w:p>
    <w:p w:rsidR="007D4BA9" w:rsidRDefault="007D4BA9">
      <w:pPr>
        <w:pStyle w:val="ConsPlusTitle"/>
        <w:jc w:val="center"/>
        <w:outlineLvl w:val="2"/>
      </w:pPr>
      <w:r>
        <w:t>Глава 36. ИНЖЕНЕРНАЯ ИНФРАСТРУКТУРА</w:t>
      </w:r>
    </w:p>
    <w:p w:rsidR="007D4BA9" w:rsidRDefault="007D4BA9">
      <w:pPr>
        <w:pStyle w:val="ConsPlusNormal"/>
        <w:jc w:val="both"/>
      </w:pPr>
    </w:p>
    <w:p w:rsidR="007D4BA9" w:rsidRDefault="007D4BA9">
      <w:pPr>
        <w:pStyle w:val="ConsPlusNormal"/>
        <w:ind w:firstLine="540"/>
        <w:jc w:val="both"/>
      </w:pPr>
      <w:r>
        <w:t xml:space="preserve">217. Объекты инженерной инфраструктуры, находящиеся на территории города </w:t>
      </w:r>
      <w:r w:rsidR="000B30E9">
        <w:t>Нижнекамск</w:t>
      </w:r>
      <w:r>
        <w:t>, подразделяются на:</w:t>
      </w:r>
    </w:p>
    <w:p w:rsidR="007D4BA9" w:rsidRDefault="007D4BA9">
      <w:pPr>
        <w:pStyle w:val="ConsPlusNormal"/>
        <w:spacing w:before="220"/>
        <w:ind w:firstLine="540"/>
        <w:jc w:val="both"/>
      </w:pPr>
      <w:r>
        <w:lastRenderedPageBreak/>
        <w:t>1) межрегиональные и системообразующие объекты федерального значения;</w:t>
      </w:r>
    </w:p>
    <w:p w:rsidR="007D4BA9" w:rsidRDefault="007D4BA9">
      <w:pPr>
        <w:pStyle w:val="ConsPlusNormal"/>
        <w:spacing w:before="220"/>
        <w:ind w:firstLine="540"/>
        <w:jc w:val="both"/>
      </w:pPr>
      <w:r>
        <w:t xml:space="preserve">2) объекты регионального (республиканского) значения, предназначенные для совместного жизнеобеспечения населения и территории города </w:t>
      </w:r>
      <w:r w:rsidR="000B30E9">
        <w:t>Нижнекамск</w:t>
      </w:r>
      <w:r>
        <w:t xml:space="preserve"> и соседних муниципальных районов Республики Татарстан;</w:t>
      </w:r>
    </w:p>
    <w:p w:rsidR="007D4BA9" w:rsidRDefault="007D4BA9">
      <w:pPr>
        <w:pStyle w:val="ConsPlusNormal"/>
        <w:spacing w:before="220"/>
        <w:ind w:firstLine="540"/>
        <w:jc w:val="both"/>
      </w:pPr>
      <w:r>
        <w:t xml:space="preserve">3) объекты инженерной инфраструктуры местного значения, предназначенные для жизнеобеспечения населения и территории города </w:t>
      </w:r>
      <w:r w:rsidR="000B30E9">
        <w:t>Нижнекамск</w:t>
      </w:r>
      <w:r>
        <w:t xml:space="preserve"> в целом и отдельных его частей;</w:t>
      </w:r>
    </w:p>
    <w:p w:rsidR="007D4BA9" w:rsidRDefault="007D4BA9">
      <w:pPr>
        <w:pStyle w:val="ConsPlusNormal"/>
        <w:spacing w:before="220"/>
        <w:ind w:firstLine="540"/>
        <w:jc w:val="both"/>
      </w:pPr>
      <w:r>
        <w:t>4) объекты инженерной инфраструктуры индивидуального значения, предназначенные для обеспечения отдельного объекта капитального строительства.</w:t>
      </w:r>
    </w:p>
    <w:p w:rsidR="007D4BA9" w:rsidRDefault="007D4BA9">
      <w:pPr>
        <w:pStyle w:val="ConsPlusNormal"/>
        <w:spacing w:before="220"/>
        <w:ind w:firstLine="540"/>
        <w:jc w:val="both"/>
      </w:pPr>
      <w:r>
        <w:t xml:space="preserve">218. К объектам федерального значения в области инженерной инфраструктуры, находящимся на территории города </w:t>
      </w:r>
      <w:r w:rsidR="000B30E9">
        <w:t>Нижнекамск</w:t>
      </w:r>
      <w:r>
        <w:t xml:space="preserve"> и подлежащим отображению в документах территориального планирования и планировки территории, относятся:</w:t>
      </w:r>
    </w:p>
    <w:p w:rsidR="007D4BA9" w:rsidRDefault="007D4BA9">
      <w:pPr>
        <w:pStyle w:val="ConsPlusNormal"/>
        <w:spacing w:before="220"/>
        <w:ind w:firstLine="540"/>
        <w:jc w:val="both"/>
      </w:pPr>
      <w:r>
        <w:t>1) газопроводы, нефтепроводы, нефтепродуктопроводы, продуктопроводы, газораспределительные станции, дожимная компрессорная станция, относящиеся к магистральному трубопроводному транспорту и предназначенные для транспортировки природного газа, сырой нефти, продуктов нефтепереработки, в том числе и специализированного промышленного сырья этана и этилена под давлением свыше 1,2 МПа;</w:t>
      </w:r>
    </w:p>
    <w:p w:rsidR="007D4BA9" w:rsidRDefault="007D4BA9">
      <w:pPr>
        <w:pStyle w:val="ConsPlusNormal"/>
        <w:spacing w:before="220"/>
        <w:ind w:firstLine="540"/>
        <w:jc w:val="both"/>
      </w:pPr>
      <w:r>
        <w:t xml:space="preserve">2) линии электропередачи и электроподстанции, проектный номинальный класс напряжения которых составляет 220 </w:t>
      </w:r>
      <w:proofErr w:type="spellStart"/>
      <w:r>
        <w:t>кВ</w:t>
      </w:r>
      <w:proofErr w:type="spellEnd"/>
      <w:r>
        <w:t xml:space="preserve"> и выше;</w:t>
      </w:r>
    </w:p>
    <w:p w:rsidR="007D4BA9" w:rsidRDefault="007D4BA9">
      <w:pPr>
        <w:pStyle w:val="ConsPlusNormal"/>
        <w:spacing w:before="220"/>
        <w:ind w:firstLine="540"/>
        <w:jc w:val="both"/>
      </w:pPr>
      <w:r>
        <w:t xml:space="preserve">3) электрические станции, установленная генерирующая мощность которых составляет 100 МВт и выше, и линии электропередачи (кабельные и воздушные), проектный номинальный класс напряжения которых составляет 110 </w:t>
      </w:r>
      <w:proofErr w:type="spellStart"/>
      <w:r>
        <w:t>кВ</w:t>
      </w:r>
      <w:proofErr w:type="spellEnd"/>
      <w:r>
        <w:t xml:space="preserve"> и выше, обеспечивающие выдачу мощности указанных станций;</w:t>
      </w:r>
    </w:p>
    <w:p w:rsidR="007D4BA9" w:rsidRDefault="007D4BA9">
      <w:pPr>
        <w:pStyle w:val="ConsPlusNormal"/>
        <w:spacing w:before="220"/>
        <w:ind w:firstLine="540"/>
        <w:jc w:val="both"/>
      </w:pPr>
      <w:r>
        <w:t xml:space="preserve">4) линии электропередачи и подстанции, проектный номинальный класс напряжения которых составляет 110 </w:t>
      </w:r>
      <w:proofErr w:type="spellStart"/>
      <w:r>
        <w:t>кВ</w:t>
      </w:r>
      <w:proofErr w:type="spellEnd"/>
      <w:r>
        <w:t xml:space="preserve"> и выше, обеспечивающие соединение и параллельную работу энергетических систем различных субъектов Российской Федерации, и необходимые для обеспечения выдачи мощности новыми электростанциями, мощность которых превышает 500 МВт;</w:t>
      </w:r>
    </w:p>
    <w:p w:rsidR="007D4BA9" w:rsidRDefault="007D4BA9">
      <w:pPr>
        <w:pStyle w:val="ConsPlusNormal"/>
        <w:spacing w:before="220"/>
        <w:ind w:firstLine="540"/>
        <w:jc w:val="both"/>
      </w:pPr>
      <w:r>
        <w:t xml:space="preserve">5) линии электропередачи, проектный номинальный класс напряжения которых составляет 110 </w:t>
      </w:r>
      <w:proofErr w:type="spellStart"/>
      <w:r>
        <w:t>кВ</w:t>
      </w:r>
      <w:proofErr w:type="spellEnd"/>
      <w:r>
        <w:t xml:space="preserve"> и вывод из работы которых приводит к технологическим ограничениям </w:t>
      </w:r>
      <w:proofErr w:type="spellStart"/>
      <w:r>
        <w:t>перетока</w:t>
      </w:r>
      <w:proofErr w:type="spellEnd"/>
      <w:r>
        <w:t xml:space="preserve"> электрической энергии (мощности) по сетям более высокого класса напряжения.</w:t>
      </w:r>
    </w:p>
    <w:p w:rsidR="007D4BA9" w:rsidRDefault="007D4BA9">
      <w:pPr>
        <w:pStyle w:val="ConsPlusNormal"/>
        <w:spacing w:before="220"/>
        <w:ind w:firstLine="540"/>
        <w:jc w:val="both"/>
      </w:pPr>
      <w:r>
        <w:t xml:space="preserve">219. К объектам регионального (республиканского) значения в области инженерной инфраструктуры, находящимся на территории города </w:t>
      </w:r>
      <w:r w:rsidR="000B30E9">
        <w:t>Нижнекамск</w:t>
      </w:r>
      <w:r>
        <w:t xml:space="preserve"> и подлежащим отображению в документах территориального планирования и планировки территории, относятся водоводы и водопроводные магистрали, трубопроводы хозяйственно-бытовой канализации, обеспечивающие прием стока, распределительные газопроводы высокого давления I и II категории и среднего давления, линии электропередачи напряжением 110 </w:t>
      </w:r>
      <w:proofErr w:type="spellStart"/>
      <w:r>
        <w:t>кВ</w:t>
      </w:r>
      <w:proofErr w:type="spellEnd"/>
      <w:r>
        <w:t xml:space="preserve"> и 35 </w:t>
      </w:r>
      <w:proofErr w:type="spellStart"/>
      <w:r>
        <w:t>кВ.</w:t>
      </w:r>
      <w:proofErr w:type="spellEnd"/>
    </w:p>
    <w:p w:rsidR="007D4BA9" w:rsidRDefault="007D4BA9">
      <w:pPr>
        <w:pStyle w:val="ConsPlusNormal"/>
        <w:spacing w:before="220"/>
        <w:ind w:firstLine="540"/>
        <w:jc w:val="both"/>
      </w:pPr>
      <w:r>
        <w:t>220. Объекты местного значения подразделяются на следующие категории в зависимости от их значения в городских системах инженерной инфраструктуры и зоны действия:</w:t>
      </w:r>
    </w:p>
    <w:p w:rsidR="007D4BA9" w:rsidRDefault="007D4BA9">
      <w:pPr>
        <w:pStyle w:val="ConsPlusNormal"/>
        <w:spacing w:before="220"/>
        <w:ind w:firstLine="540"/>
        <w:jc w:val="both"/>
      </w:pPr>
      <w:r>
        <w:t xml:space="preserve">1) объекты городского значения, предназначенные для жизнеобеспечения населения и территории города </w:t>
      </w:r>
      <w:r w:rsidR="000B30E9">
        <w:t>Нижнекамск</w:t>
      </w:r>
      <w:r>
        <w:t xml:space="preserve"> в целом или нескольких административных районов;</w:t>
      </w:r>
    </w:p>
    <w:p w:rsidR="007D4BA9" w:rsidRDefault="007D4BA9">
      <w:pPr>
        <w:pStyle w:val="ConsPlusNormal"/>
        <w:spacing w:before="220"/>
        <w:ind w:firstLine="540"/>
        <w:jc w:val="both"/>
      </w:pPr>
      <w:r>
        <w:t>2) объекты районного значения, предназначенные для жизнеобеспечения населения и территории жилого района и микрорайона, общественно-деловой и производственной зоны, рекреационной зоны;</w:t>
      </w:r>
    </w:p>
    <w:p w:rsidR="007D4BA9" w:rsidRDefault="007D4BA9">
      <w:pPr>
        <w:pStyle w:val="ConsPlusNormal"/>
        <w:spacing w:before="220"/>
        <w:ind w:firstLine="540"/>
        <w:jc w:val="both"/>
      </w:pPr>
      <w:r>
        <w:lastRenderedPageBreak/>
        <w:t>3) локальные объекты, предназначенные для обеспечения нескольких объектов, комплекса, микрорайона.</w:t>
      </w:r>
    </w:p>
    <w:p w:rsidR="007D4BA9" w:rsidRDefault="007D4BA9">
      <w:pPr>
        <w:pStyle w:val="ConsPlusNormal"/>
        <w:spacing w:before="220"/>
        <w:ind w:firstLine="540"/>
        <w:jc w:val="both"/>
      </w:pPr>
      <w:r>
        <w:t xml:space="preserve">221. Объекты инженерной инфраструктуры подразделяются на следующие типы: объекты водоснабжения; объекты водоотведения городских сточных вод, поверхностных сточных вод и дренажных вод; объекты тепло- и энергоснабжения; объекты электроснабжения; объекты газоснабжения; объекты информатики и связи; коммуникационные коллекторы, объекты </w:t>
      </w:r>
      <w:proofErr w:type="spellStart"/>
      <w:r>
        <w:t>снегоудаления</w:t>
      </w:r>
      <w:proofErr w:type="spellEnd"/>
      <w:r>
        <w:t>.</w:t>
      </w:r>
    </w:p>
    <w:p w:rsidR="007D4BA9" w:rsidRDefault="007D4BA9">
      <w:pPr>
        <w:pStyle w:val="ConsPlusNormal"/>
        <w:spacing w:before="220"/>
        <w:ind w:firstLine="540"/>
        <w:jc w:val="both"/>
      </w:pPr>
      <w:r>
        <w:t>222. Объекты инженерной инфраструктуры каждого типа подразделяются на линейные объекты и сооружения.</w:t>
      </w:r>
    </w:p>
    <w:p w:rsidR="007D4BA9" w:rsidRDefault="007D4BA9">
      <w:pPr>
        <w:pStyle w:val="ConsPlusNormal"/>
        <w:jc w:val="both"/>
      </w:pPr>
    </w:p>
    <w:p w:rsidR="007D4BA9" w:rsidRDefault="007D4BA9">
      <w:pPr>
        <w:pStyle w:val="ConsPlusTitle"/>
        <w:jc w:val="center"/>
        <w:outlineLvl w:val="2"/>
      </w:pPr>
      <w:r>
        <w:t>Глава 37. ПРАВИЛА РАЗМЕЩЕНИЯ ОБЪЕКТОВ ИНЖЕНЕРНОЙ</w:t>
      </w:r>
    </w:p>
    <w:p w:rsidR="007D4BA9" w:rsidRDefault="007D4BA9">
      <w:pPr>
        <w:pStyle w:val="ConsPlusTitle"/>
        <w:jc w:val="center"/>
      </w:pPr>
      <w:r>
        <w:t>ИНФРАСТРУКТУРЫ ПРИ ОПРЕДЕЛЕНИИ ПАРАМЕТРОВ ПЛАНИРУЕМОГО</w:t>
      </w:r>
    </w:p>
    <w:p w:rsidR="007D4BA9" w:rsidRDefault="007D4BA9">
      <w:pPr>
        <w:pStyle w:val="ConsPlusTitle"/>
        <w:jc w:val="center"/>
      </w:pPr>
      <w:r>
        <w:t>РАЗВИТИЯ ТЕРРИТОРИИ</w:t>
      </w:r>
    </w:p>
    <w:p w:rsidR="007D4BA9" w:rsidRDefault="007D4BA9">
      <w:pPr>
        <w:pStyle w:val="ConsPlusNormal"/>
        <w:jc w:val="both"/>
      </w:pPr>
    </w:p>
    <w:p w:rsidR="007D4BA9" w:rsidRDefault="007D4BA9">
      <w:pPr>
        <w:pStyle w:val="ConsPlusNormal"/>
        <w:ind w:firstLine="540"/>
        <w:jc w:val="both"/>
      </w:pPr>
      <w:r>
        <w:t xml:space="preserve">223. Правила размещения новых, проведения реконструкции и капремонта действующих сооружений и линейных объектов инженерной инфраструктуры определяются федеральным законодательством в области технического регулирования и санитарного благополучия населения, государственными стандартами, строительными правилами, правилами охраны инженерных сетей и сооружений и </w:t>
      </w:r>
      <w:proofErr w:type="gramStart"/>
      <w:r>
        <w:t>иными правовыми актами</w:t>
      </w:r>
      <w:proofErr w:type="gramEnd"/>
      <w:r>
        <w:t xml:space="preserve"> и нормативными документами на проектирование, строительство и эксплуатацию объектов инженерной инфраструктуры.</w:t>
      </w:r>
    </w:p>
    <w:p w:rsidR="007D4BA9" w:rsidRDefault="007D4BA9">
      <w:pPr>
        <w:pStyle w:val="ConsPlusNormal"/>
        <w:spacing w:before="220"/>
        <w:ind w:firstLine="540"/>
        <w:jc w:val="both"/>
      </w:pPr>
      <w:r>
        <w:t>224. На территории различных зон градостроительных регламентов объекты инженерной инфраструктуры размещаются с учетом их типов, вида, значения и категории, а также местоположения относительно поверхности земли.</w:t>
      </w:r>
    </w:p>
    <w:p w:rsidR="007D4BA9" w:rsidRDefault="007D4BA9">
      <w:pPr>
        <w:pStyle w:val="ConsPlusNormal"/>
        <w:spacing w:before="220"/>
        <w:ind w:firstLine="540"/>
        <w:jc w:val="both"/>
      </w:pPr>
      <w:r>
        <w:t>225. При сохранении и размещении инженерных сооружений в границах участков другого назначения предусматривается беспрепятственный подход и подъезд к этим сооружениям, а также другие условия их нормального функционирования.</w:t>
      </w:r>
    </w:p>
    <w:p w:rsidR="007D4BA9" w:rsidRDefault="007D4BA9">
      <w:pPr>
        <w:pStyle w:val="ConsPlusNormal"/>
        <w:spacing w:before="220"/>
        <w:ind w:firstLine="540"/>
        <w:jc w:val="both"/>
      </w:pPr>
      <w:r>
        <w:t>226. При подготовке документации по планировке территории необходимо резервировать земельные участки для строительства новых и проведения реконструкции действующих сооружений инженерной инфраструктуры федерального, регионального и местного значения.</w:t>
      </w:r>
    </w:p>
    <w:p w:rsidR="007D4BA9" w:rsidRDefault="007D4BA9">
      <w:pPr>
        <w:pStyle w:val="ConsPlusNormal"/>
        <w:spacing w:before="220"/>
        <w:ind w:firstLine="540"/>
        <w:jc w:val="both"/>
      </w:pPr>
      <w:r>
        <w:t xml:space="preserve">227. При наличии достаточной информации о планировочной организации земельного участка, сформированной в составе проектной документации, при подготовке документации по планировке территории резервируются земельные участки для размещения отдельно стоящих местных локальных сооружений (канализационных насосных станций, газораспределительных пунктов разных видов, </w:t>
      </w:r>
      <w:proofErr w:type="spellStart"/>
      <w:r>
        <w:t>трансфрматорных</w:t>
      </w:r>
      <w:proofErr w:type="spellEnd"/>
      <w:r>
        <w:t xml:space="preserve"> подстанций).</w:t>
      </w:r>
    </w:p>
    <w:p w:rsidR="007D4BA9" w:rsidRDefault="007D4BA9">
      <w:pPr>
        <w:pStyle w:val="ConsPlusNormal"/>
        <w:spacing w:before="220"/>
        <w:ind w:firstLine="540"/>
        <w:jc w:val="both"/>
      </w:pPr>
      <w:r>
        <w:t>228. Технические и охранные зоны инженерных коммуникаций и сооружений относятся к территориям с особыми условиями использования.</w:t>
      </w:r>
    </w:p>
    <w:p w:rsidR="007D4BA9" w:rsidRDefault="007D4BA9">
      <w:pPr>
        <w:pStyle w:val="ConsPlusNormal"/>
        <w:spacing w:before="220"/>
        <w:ind w:firstLine="540"/>
        <w:jc w:val="both"/>
      </w:pPr>
      <w:r>
        <w:t>229. В пределах технических и охранных зон размещение, строительство, реконструкция объектов капитального строительства и использование территории регулируются федеральным законодательством в области технического регулирования, строительными правилами, правилами охраны инженерных сетей и сооружений.</w:t>
      </w:r>
    </w:p>
    <w:p w:rsidR="007D4BA9" w:rsidRDefault="007D4BA9">
      <w:pPr>
        <w:pStyle w:val="ConsPlusNormal"/>
        <w:spacing w:before="220"/>
        <w:ind w:firstLine="540"/>
        <w:jc w:val="both"/>
      </w:pPr>
      <w:r>
        <w:t>230. Охранные зоны подземных инженерных коммуникаций устанавливаются по обе стороны от наружной стенки трубы, канала (тоннеля), оболочки кабеля на участок земли от поверхности до глубины, соответствующей глубине прокладки коммуникаций.</w:t>
      </w:r>
    </w:p>
    <w:p w:rsidR="007D4BA9" w:rsidRDefault="007D4BA9">
      <w:pPr>
        <w:pStyle w:val="ConsPlusNormal"/>
        <w:spacing w:before="220"/>
        <w:ind w:firstLine="540"/>
        <w:jc w:val="both"/>
      </w:pPr>
      <w:r>
        <w:t xml:space="preserve">231. Охранные зоны наземных и надземных инженерных коммуникаций (трубопроводов) и сооружений устанавливаются по обе стороны от наружной стенки трубы или конструкции линейного объекта и ограждения сооружения на поверхность участка земли и воздушное </w:t>
      </w:r>
      <w:r>
        <w:lastRenderedPageBreak/>
        <w:t>пространство на высоту, соответствующую высоте конструкции.</w:t>
      </w:r>
    </w:p>
    <w:p w:rsidR="007D4BA9" w:rsidRDefault="007D4BA9">
      <w:pPr>
        <w:pStyle w:val="ConsPlusNormal"/>
        <w:spacing w:before="220"/>
        <w:ind w:firstLine="540"/>
        <w:jc w:val="both"/>
      </w:pPr>
      <w:r>
        <w:t>232. Границы охранных зон воздушных линий электропередачи устанавливаются по обе стороны от проекции крайних проводов на землю при не отклоненном их положении на высоту, соответствующую высоте опор.</w:t>
      </w:r>
    </w:p>
    <w:p w:rsidR="007D4BA9" w:rsidRDefault="007D4BA9">
      <w:pPr>
        <w:pStyle w:val="ConsPlusNormal"/>
        <w:spacing w:before="220"/>
        <w:ind w:firstLine="540"/>
        <w:jc w:val="both"/>
      </w:pPr>
      <w:r>
        <w:t>233. Условия и правила использования территории зоны санитарной охраны сооружений и санитарно-защитных полос линейных объектов системы водоснабжения определяются федеральным законодательством в области охраны источников питьевого водоснабжения.</w:t>
      </w:r>
    </w:p>
    <w:p w:rsidR="007D4BA9" w:rsidRDefault="007D4BA9">
      <w:pPr>
        <w:pStyle w:val="ConsPlusNormal"/>
        <w:spacing w:before="220"/>
        <w:ind w:firstLine="540"/>
        <w:jc w:val="both"/>
      </w:pPr>
      <w:r>
        <w:t xml:space="preserve">234. Новые инженерные коммуникации следует размещать </w:t>
      </w:r>
      <w:proofErr w:type="spellStart"/>
      <w:r>
        <w:t>подземно</w:t>
      </w:r>
      <w:proofErr w:type="spellEnd"/>
      <w:r>
        <w:t>, за исключением случаев, указанных в пункте 239 Местных нормативов.</w:t>
      </w:r>
    </w:p>
    <w:p w:rsidR="007D4BA9" w:rsidRDefault="007D4BA9">
      <w:pPr>
        <w:pStyle w:val="ConsPlusNormal"/>
        <w:spacing w:before="220"/>
        <w:ind w:firstLine="540"/>
        <w:jc w:val="both"/>
      </w:pPr>
      <w:r>
        <w:t xml:space="preserve">235. В целях улучшения внешнего облика города </w:t>
      </w:r>
      <w:r w:rsidR="000B30E9">
        <w:t>Нижнекамск</w:t>
      </w:r>
      <w:r>
        <w:t xml:space="preserve"> и обеспечения безопасности функционирования систем жизнеобеспечения при реконструкции инженерных коммуникаций в зонах сохранения и комплексного благоустройства сложившихся территорий или при комплексной реорганизации территории предусматривается переустройство наземных и надземных инженерных коммуникаций в подземные, в том числе переустройство воздушных линий электропередачи напряжением 10 </w:t>
      </w:r>
      <w:proofErr w:type="spellStart"/>
      <w:r>
        <w:t>кВ</w:t>
      </w:r>
      <w:proofErr w:type="spellEnd"/>
      <w:r>
        <w:t xml:space="preserve"> и более в подземные кабельные линии.</w:t>
      </w:r>
    </w:p>
    <w:p w:rsidR="007D4BA9" w:rsidRDefault="007D4BA9">
      <w:pPr>
        <w:pStyle w:val="ConsPlusNormal"/>
        <w:spacing w:before="220"/>
        <w:ind w:firstLine="540"/>
        <w:jc w:val="both"/>
      </w:pPr>
      <w:r>
        <w:t>236. Сохранение существующих воздушных линий электропередачи всех напряжений и проведение их реконструкции (капремонта) с сохранением в воздушном исполнении на территории производственных и природных зон, а также при пересечении естественных и искусственных преград (железных дорог, рек, оврагов) возможно только при соответствующем технико-экономическом и экологическом обосновании.</w:t>
      </w:r>
    </w:p>
    <w:p w:rsidR="007D4BA9" w:rsidRDefault="007D4BA9">
      <w:pPr>
        <w:pStyle w:val="ConsPlusNormal"/>
        <w:spacing w:before="220"/>
        <w:ind w:firstLine="540"/>
        <w:jc w:val="both"/>
      </w:pPr>
      <w:r>
        <w:t>237. Существующие, реконструируемые и новые подземные линейные объекты инженерной инфраструктуры размещаются на территории всех видов функциональных зон с учетом требований и рекомендаций по размещению линейных объекты инженерной инфраструктуры.</w:t>
      </w:r>
    </w:p>
    <w:p w:rsidR="007D4BA9" w:rsidRDefault="007D4BA9">
      <w:pPr>
        <w:pStyle w:val="ConsPlusNormal"/>
        <w:spacing w:before="220"/>
        <w:ind w:firstLine="540"/>
        <w:jc w:val="both"/>
      </w:pPr>
      <w:r>
        <w:t>238. Наземные и надземные линейные объекты, а также наземные и надземные элементы подземных линейных объектов размещаются:</w:t>
      </w:r>
    </w:p>
    <w:p w:rsidR="007D4BA9" w:rsidRDefault="007D4BA9">
      <w:pPr>
        <w:pStyle w:val="ConsPlusNormal"/>
        <w:spacing w:before="220"/>
        <w:ind w:firstLine="540"/>
        <w:jc w:val="both"/>
      </w:pPr>
      <w:r>
        <w:t xml:space="preserve">1) на территории производственных зон, а также на территории участков производственных объектов, входящих в границы общественно-деловых и жилых зон, все виды существующих и новых наземных и надземных линейных объектов, и элементов подземных линейных объектов с учетом требований </w:t>
      </w:r>
      <w:hyperlink r:id="rId67">
        <w:r>
          <w:rPr>
            <w:color w:val="0000FF"/>
          </w:rPr>
          <w:t>СП 18.13330.2019</w:t>
        </w:r>
      </w:hyperlink>
      <w:r>
        <w:t xml:space="preserve"> "Свод правил. Производственные объекты. Планировочная организация земельного участка" (СНиП II-89-80 "Генеральные планы промышленных предприятий");</w:t>
      </w:r>
    </w:p>
    <w:p w:rsidR="007D4BA9" w:rsidRDefault="007D4BA9">
      <w:pPr>
        <w:pStyle w:val="ConsPlusNormal"/>
        <w:spacing w:before="220"/>
        <w:ind w:firstLine="540"/>
        <w:jc w:val="both"/>
      </w:pPr>
      <w:r>
        <w:t>2) на территориях жилых и общественно-деловых зон:</w:t>
      </w:r>
    </w:p>
    <w:p w:rsidR="007D4BA9" w:rsidRDefault="007D4BA9">
      <w:pPr>
        <w:pStyle w:val="ConsPlusNormal"/>
        <w:spacing w:before="220"/>
        <w:ind w:firstLine="540"/>
        <w:jc w:val="both"/>
      </w:pPr>
      <w:r>
        <w:t>- водопроводные и тепловые сети только как временные, на период производства работ по подземным инженерным коммуникациям;</w:t>
      </w:r>
    </w:p>
    <w:p w:rsidR="007D4BA9" w:rsidRDefault="007D4BA9">
      <w:pPr>
        <w:pStyle w:val="ConsPlusNormal"/>
        <w:spacing w:before="220"/>
        <w:ind w:firstLine="540"/>
        <w:jc w:val="both"/>
      </w:pPr>
      <w:r>
        <w:t>- существующие и новые камеры-павильоны на тепловых сетях; газовое оборудование подземных трубопроводов; вентиляционные камеры коллекторов для инженерных коммуникаций за исключением территории участков жилой застройки (домов, комплексов, групп), территории участков ДОО, общеобразовательных и медицинских организаций;</w:t>
      </w:r>
    </w:p>
    <w:p w:rsidR="007D4BA9" w:rsidRDefault="007D4BA9">
      <w:pPr>
        <w:pStyle w:val="ConsPlusNormal"/>
        <w:spacing w:before="220"/>
        <w:ind w:firstLine="540"/>
        <w:jc w:val="both"/>
      </w:pPr>
      <w:r>
        <w:t xml:space="preserve">- существующие и новые надземные газопроводы: на наружных стенах и кровлях зданий; газопроводы-вводы в газораспределительные пункты или газифицированные объекты (котельные, объекты коммунального назначения), размещение которых разрешается в жилых и общественно-деловых зонах; на переходах через естественные и искусственные препятствия (глубокие овраги, реки) или в сложных гидрогеологических условиях при выполнении требований </w:t>
      </w:r>
      <w:hyperlink r:id="rId68">
        <w:r>
          <w:rPr>
            <w:color w:val="0000FF"/>
          </w:rPr>
          <w:t>СП 62.13330.2011</w:t>
        </w:r>
      </w:hyperlink>
      <w:r>
        <w:t>;</w:t>
      </w:r>
    </w:p>
    <w:p w:rsidR="007D4BA9" w:rsidRDefault="007D4BA9">
      <w:pPr>
        <w:pStyle w:val="ConsPlusNormal"/>
        <w:spacing w:before="220"/>
        <w:ind w:firstLine="540"/>
        <w:jc w:val="both"/>
      </w:pPr>
      <w:r>
        <w:lastRenderedPageBreak/>
        <w:t>- существующие воздушные линии проводного вещания на специальных стойках на крышах зданий, не имеющие металлических элементов, на опорах воздушных линий электропередачи;</w:t>
      </w:r>
    </w:p>
    <w:p w:rsidR="007D4BA9" w:rsidRDefault="007D4BA9">
      <w:pPr>
        <w:pStyle w:val="ConsPlusNormal"/>
        <w:spacing w:before="220"/>
        <w:ind w:firstLine="540"/>
        <w:jc w:val="both"/>
      </w:pPr>
      <w:r>
        <w:t xml:space="preserve">- существующие воздушные линии электропередачи напряжением не более 0,4 </w:t>
      </w:r>
      <w:proofErr w:type="spellStart"/>
      <w:r>
        <w:t>кВ</w:t>
      </w:r>
      <w:proofErr w:type="spellEnd"/>
      <w:r>
        <w:t>;</w:t>
      </w:r>
    </w:p>
    <w:p w:rsidR="007D4BA9" w:rsidRDefault="007D4BA9">
      <w:pPr>
        <w:pStyle w:val="ConsPlusNormal"/>
        <w:spacing w:before="220"/>
        <w:ind w:firstLine="540"/>
        <w:jc w:val="both"/>
      </w:pPr>
      <w:r>
        <w:t xml:space="preserve">- новые воздушные линии электропередачи: напряжением не более 0,4 </w:t>
      </w:r>
      <w:proofErr w:type="spellStart"/>
      <w:r>
        <w:t>кВ</w:t>
      </w:r>
      <w:proofErr w:type="spellEnd"/>
      <w:r>
        <w:t xml:space="preserve"> в ИЖС, в том числе на территории садоводческих объединений граждан; временные, на период строительства объектов, до завершения производства работ; напряжением не более 10 </w:t>
      </w:r>
      <w:proofErr w:type="spellStart"/>
      <w:r>
        <w:t>кВ</w:t>
      </w:r>
      <w:proofErr w:type="spellEnd"/>
      <w:r>
        <w:t xml:space="preserve"> на переходах через естественные и искусственные препятствия (глубокие овраги, реки);</w:t>
      </w:r>
    </w:p>
    <w:p w:rsidR="007D4BA9" w:rsidRDefault="007D4BA9">
      <w:pPr>
        <w:pStyle w:val="ConsPlusNormal"/>
        <w:spacing w:before="220"/>
        <w:ind w:firstLine="540"/>
        <w:jc w:val="both"/>
      </w:pPr>
      <w:r>
        <w:t>- в существующей застройке, за исключением территории садоводческих объединений граждан, при реконструкции линий электропередачи всех напряжений следует предусматривать их перекладку в подземные кабельные линии.</w:t>
      </w:r>
    </w:p>
    <w:p w:rsidR="007D4BA9" w:rsidRDefault="007D4BA9">
      <w:pPr>
        <w:pStyle w:val="ConsPlusNormal"/>
        <w:spacing w:before="220"/>
        <w:ind w:firstLine="540"/>
        <w:jc w:val="both"/>
      </w:pPr>
      <w:r>
        <w:t>239. Не разрешается строительство новых сооружений инженерной инфраструктуры, не связанных с обслуживанием этих объектов, и строительство транзитных инженерных коммуникаций на территориях следующих объектов:</w:t>
      </w:r>
    </w:p>
    <w:p w:rsidR="007D4BA9" w:rsidRDefault="007D4BA9">
      <w:pPr>
        <w:pStyle w:val="ConsPlusNormal"/>
        <w:spacing w:before="220"/>
        <w:ind w:firstLine="540"/>
        <w:jc w:val="both"/>
      </w:pPr>
      <w:r>
        <w:t>1) участков ДОО и образовательных (общеобразовательных и специализированных) организаций, спортивных организаций и сооружений для массовых занятий спортом, медицинских организаций;</w:t>
      </w:r>
    </w:p>
    <w:p w:rsidR="007D4BA9" w:rsidRDefault="007D4BA9">
      <w:pPr>
        <w:pStyle w:val="ConsPlusNormal"/>
        <w:spacing w:before="220"/>
        <w:ind w:firstLine="540"/>
        <w:jc w:val="both"/>
      </w:pPr>
      <w:r>
        <w:t>2) площадок для игр детей, отдыха взрослых и занятий спортом;</w:t>
      </w:r>
    </w:p>
    <w:p w:rsidR="007D4BA9" w:rsidRDefault="007D4BA9">
      <w:pPr>
        <w:pStyle w:val="ConsPlusNormal"/>
        <w:spacing w:before="220"/>
        <w:ind w:firstLine="540"/>
        <w:jc w:val="both"/>
      </w:pPr>
      <w:r>
        <w:t>3) зон специального назначения: кладбищ, крематориев, свалок, военных и иных режимных объектов.</w:t>
      </w:r>
    </w:p>
    <w:p w:rsidR="007D4BA9" w:rsidRDefault="007D4BA9">
      <w:pPr>
        <w:pStyle w:val="ConsPlusNormal"/>
        <w:spacing w:before="220"/>
        <w:ind w:firstLine="540"/>
        <w:jc w:val="both"/>
      </w:pPr>
      <w:r>
        <w:t>240. Существующие инженерные сооружения и коммуникации районного и локального значения на территории участков сохраняются до начала реорганизации территории, или до начала проведения реконструкции инженерного сооружения, или коммуникации и при условии отсутствия в границах участка смотровых колодцев.</w:t>
      </w:r>
    </w:p>
    <w:p w:rsidR="007D4BA9" w:rsidRDefault="007D4BA9">
      <w:pPr>
        <w:pStyle w:val="ConsPlusNormal"/>
        <w:spacing w:before="220"/>
        <w:ind w:firstLine="540"/>
        <w:jc w:val="both"/>
      </w:pPr>
      <w:r>
        <w:t>241. При реорганизации территории, на которой расположены объекты, или при проведении реконструкции самих этих объектов необходимо предусмотреть вынос транзитных инженерных коммуникаций и сооружений за границы их участков.</w:t>
      </w:r>
    </w:p>
    <w:p w:rsidR="007D4BA9" w:rsidRDefault="007D4BA9">
      <w:pPr>
        <w:pStyle w:val="ConsPlusNormal"/>
        <w:spacing w:before="220"/>
        <w:ind w:firstLine="540"/>
        <w:jc w:val="both"/>
      </w:pPr>
      <w:r>
        <w:t>242. В стесненных планировочных условиях, то есть когда исключается независимое (без учета взаимного влияния) расположение сооружаемых объектов, а размещение их на другой территории не может быть обосновано, а также на существующих улицах, не имеющих разделительных полос, при выполнении нормативных требований и проведении технических мероприятий по защите и обеспечению безопасности инженерных коммуникаций, зданий и сооружений разрешается строительство инженерных коммуникаций:</w:t>
      </w:r>
    </w:p>
    <w:p w:rsidR="007D4BA9" w:rsidRDefault="007D4BA9">
      <w:pPr>
        <w:pStyle w:val="ConsPlusNormal"/>
        <w:spacing w:before="220"/>
        <w:ind w:firstLine="540"/>
        <w:jc w:val="both"/>
      </w:pPr>
      <w:r>
        <w:t>1) под проезжей частью УДС при условиях проведения технических мероприятий по защите и обеспечению безопасности инженерных коммуникаций и элементов УДС;</w:t>
      </w:r>
    </w:p>
    <w:p w:rsidR="007D4BA9" w:rsidRDefault="007D4BA9">
      <w:pPr>
        <w:pStyle w:val="ConsPlusNormal"/>
        <w:spacing w:before="220"/>
        <w:ind w:firstLine="540"/>
        <w:jc w:val="both"/>
      </w:pPr>
      <w:r>
        <w:t>2) под арками зданий и галереями при высоте сооружения над уровнем земли, обеспечивающей нормальные условия для эксплуатации и проведения капремонта инженерных коммуникаций, но не менее 4,5 м, и при условии отсутствия колодцев на сети в зоне проекции сооружения на землю;</w:t>
      </w:r>
    </w:p>
    <w:p w:rsidR="007D4BA9" w:rsidRDefault="007D4BA9">
      <w:pPr>
        <w:pStyle w:val="ConsPlusNormal"/>
        <w:spacing w:before="220"/>
        <w:ind w:firstLine="540"/>
        <w:jc w:val="both"/>
      </w:pPr>
      <w:r>
        <w:t xml:space="preserve">3) под территориями хозяйственных и контейнерных площадок для сбора бытового и крупногабаритного мусора, площадок для выгула собак, пешеходных коммуникаций, велодорожек, а также по территории </w:t>
      </w:r>
      <w:proofErr w:type="spellStart"/>
      <w:r>
        <w:t>отстойно</w:t>
      </w:r>
      <w:proofErr w:type="spellEnd"/>
      <w:r>
        <w:t xml:space="preserve">-разворотных и разворотных площадок автомобильного транспорта при условии отсутствия камер и колодцев в границах участков и проведения защитных мероприятий (кроме электрических сетей напряжением свыше 1000 В, </w:t>
      </w:r>
      <w:r>
        <w:lastRenderedPageBreak/>
        <w:t>газопроводов высокого давления I категории);</w:t>
      </w:r>
    </w:p>
    <w:p w:rsidR="007D4BA9" w:rsidRDefault="007D4BA9">
      <w:pPr>
        <w:pStyle w:val="ConsPlusNormal"/>
        <w:spacing w:before="220"/>
        <w:ind w:firstLine="540"/>
        <w:jc w:val="both"/>
      </w:pPr>
      <w:r>
        <w:t>4) под озелененными, природными и особо охраняемыми природными территориями с применением преимущественно бестраншейных методов строительства, за исключением заповедных зон при обосновании и согласовании с природоохранными организациями.</w:t>
      </w:r>
    </w:p>
    <w:p w:rsidR="007D4BA9" w:rsidRDefault="007D4BA9">
      <w:pPr>
        <w:pStyle w:val="ConsPlusNormal"/>
        <w:spacing w:before="220"/>
        <w:ind w:firstLine="540"/>
        <w:jc w:val="both"/>
      </w:pPr>
      <w:r>
        <w:t>243. Прокладка подземных коммуникаций может осуществляться закрытым или открытым способом. Выбор способа и технологии прокладки должен осуществляться на основании технико-экономического сравнения вариантов, требований действующих нормативных документов на проектирование и строительство подземных коммуникаций соответствующего вида, требований технических условий на прокладываемые подземные коммуникации с учетом:</w:t>
      </w:r>
    </w:p>
    <w:p w:rsidR="007D4BA9" w:rsidRDefault="007D4BA9">
      <w:pPr>
        <w:pStyle w:val="ConsPlusNormal"/>
        <w:spacing w:before="220"/>
        <w:ind w:firstLine="540"/>
        <w:jc w:val="both"/>
      </w:pPr>
      <w:r>
        <w:t>1) градостроительных условий строительства (допустимость прокладки коммуникаций по территории с учетом ее правового и имущественного статуса; планы перспективного развития территории, в том числе подземного пространства; влияние застройки и городской инфраструктуры на проектируемую коммуникацию);</w:t>
      </w:r>
    </w:p>
    <w:p w:rsidR="007D4BA9" w:rsidRDefault="007D4BA9">
      <w:pPr>
        <w:pStyle w:val="ConsPlusNormal"/>
        <w:spacing w:before="220"/>
        <w:ind w:firstLine="540"/>
        <w:jc w:val="both"/>
      </w:pPr>
      <w:r>
        <w:t>2) инженерно-геологических, гидрогеологических условий, рельефа местности;</w:t>
      </w:r>
    </w:p>
    <w:p w:rsidR="007D4BA9" w:rsidRDefault="007D4BA9">
      <w:pPr>
        <w:pStyle w:val="ConsPlusNormal"/>
        <w:spacing w:before="220"/>
        <w:ind w:firstLine="540"/>
        <w:jc w:val="both"/>
      </w:pPr>
      <w:r>
        <w:t>3) обеспечения надежности ранее возведенных зданий, сооружений и ранее проложенных подземных коммуникаций, расположенных в зоне размещения проектируемой коммуникации;</w:t>
      </w:r>
    </w:p>
    <w:p w:rsidR="007D4BA9" w:rsidRDefault="007D4BA9">
      <w:pPr>
        <w:pStyle w:val="ConsPlusNormal"/>
        <w:spacing w:before="220"/>
        <w:ind w:firstLine="540"/>
        <w:jc w:val="both"/>
      </w:pPr>
      <w:r>
        <w:t>4) допустимости прокладки совместно с коммуникациями других видов, прокладки внутри объектов действующей инфраструктуры (тоннелей, переходов);</w:t>
      </w:r>
    </w:p>
    <w:p w:rsidR="007D4BA9" w:rsidRDefault="007D4BA9">
      <w:pPr>
        <w:pStyle w:val="ConsPlusNormal"/>
        <w:spacing w:before="220"/>
        <w:ind w:firstLine="540"/>
        <w:jc w:val="both"/>
      </w:pPr>
      <w:r>
        <w:t>5) пересечения с существующими коммуникациями других видов, необходимости выноса и перекладки ранее проложенных подземных коммуникаций, возможности аварийных утечек и повреждений подземных коммуникаций;</w:t>
      </w:r>
    </w:p>
    <w:p w:rsidR="007D4BA9" w:rsidRDefault="007D4BA9">
      <w:pPr>
        <w:pStyle w:val="ConsPlusNormal"/>
        <w:spacing w:before="220"/>
        <w:ind w:firstLine="540"/>
        <w:jc w:val="both"/>
      </w:pPr>
      <w:r>
        <w:t>6) экологических требований и ограничений (сохранность окружающей среды, наличие по трассе неблагоприятных санитарных зон (кладбища, свалки, скотомогильники)).</w:t>
      </w:r>
    </w:p>
    <w:p w:rsidR="007D4BA9" w:rsidRDefault="007D4BA9">
      <w:pPr>
        <w:pStyle w:val="ConsPlusNormal"/>
        <w:spacing w:before="220"/>
        <w:ind w:firstLine="540"/>
        <w:jc w:val="both"/>
      </w:pPr>
      <w:r>
        <w:t>244. Размещение подземных инженерных коммуникаций по отношению к зданиям, сооружениям, зеленым насаждениям и их взаимное расположение должны исключать возможность подмыва оснований фундаментов зданий и сооружений, повреждения близко расположенных сетей и зеленых насаждений, а также обеспечивать возможность ремонта сетей без затруднений для движения городского транспорта. При выборе проектных решений и методов устройства должен оцениваться сопоставимый опыт строительства, в первую очередь в аналогичных грунтовых условиях.</w:t>
      </w:r>
    </w:p>
    <w:p w:rsidR="007D4BA9" w:rsidRDefault="007D4BA9">
      <w:pPr>
        <w:pStyle w:val="ConsPlusNormal"/>
        <w:spacing w:before="220"/>
        <w:ind w:firstLine="540"/>
        <w:jc w:val="both"/>
      </w:pPr>
      <w:r>
        <w:t>245. Локальные (внутриквартальные) инженерные коммуникации и сооружения на них необходимо проектировать в технических зонах, определяемых между участками, отводимыми под застройку, которые не закрепляются красными линиями. Прохождение этих коммуникаций через застраиваемые участки возможно при обязательном обеспечении сервитута на зоны их прокладки. Это же условие распространяется на участки инженерных сетей, обеспечивающих подключение зданий к распределительным сетям микрорайона (квартала), и сооружения на них.</w:t>
      </w:r>
    </w:p>
    <w:p w:rsidR="007D4BA9" w:rsidRDefault="007D4BA9">
      <w:pPr>
        <w:pStyle w:val="ConsPlusNormal"/>
        <w:spacing w:before="220"/>
        <w:ind w:firstLine="540"/>
        <w:jc w:val="both"/>
      </w:pPr>
      <w:r>
        <w:t>246. При строительстве новых районов и, если позволяют условия, при реорганизации застроенных территорий рекомендуется перекладывать на территорию технических зон существующие инженерные коммуникации, проложенные по территории микрорайонов, кварталов, участков. В этом случае ширина технической зоны, устанавливаемой вдоль красных линий УДС, должна быть увеличена с учетом размещения в ее пределах дополнительных инженерных коммуникаций.</w:t>
      </w:r>
    </w:p>
    <w:p w:rsidR="007D4BA9" w:rsidRDefault="007D4BA9">
      <w:pPr>
        <w:pStyle w:val="ConsPlusNormal"/>
        <w:spacing w:before="220"/>
        <w:ind w:firstLine="540"/>
        <w:jc w:val="both"/>
      </w:pPr>
      <w:r>
        <w:t xml:space="preserve">247. При обосновании технической возможности и/или целесообразности сохранения существующих или прокладки новых линейных объектов инженерной инфраструктуры внутри </w:t>
      </w:r>
      <w:r>
        <w:lastRenderedPageBreak/>
        <w:t>территории микрорайонов, кварталов, участков устанавливается техническая зона инженерных коммуникаций, ширина которой определяется с учетом набора размещаемых в ее пределах объектов.</w:t>
      </w:r>
    </w:p>
    <w:p w:rsidR="007D4BA9" w:rsidRDefault="007D4BA9">
      <w:pPr>
        <w:pStyle w:val="ConsPlusNormal"/>
        <w:spacing w:before="220"/>
        <w:ind w:firstLine="540"/>
        <w:jc w:val="both"/>
      </w:pPr>
      <w:r>
        <w:t>248. В красных линиях УДС размещаются инженерные коммуникации, необходимые для обеспечения функционирования самой УДС (освещение, водосток, сети управления дорожным движением и светофорным регулированием, опоры контактной сети и кабельные линии электротранспорта).</w:t>
      </w:r>
    </w:p>
    <w:p w:rsidR="007D4BA9" w:rsidRDefault="007D4BA9">
      <w:pPr>
        <w:pStyle w:val="ConsPlusNormal"/>
        <w:spacing w:before="220"/>
        <w:ind w:firstLine="540"/>
        <w:jc w:val="both"/>
      </w:pPr>
      <w:r>
        <w:t xml:space="preserve">249. Ширину технической зоны для размещения инженерных коммуникаций, необходимых для обеспечения функционирования УДС, принимают от 4,5 м до 7,0 м. Ширина технической зоны может уточняться в зависимости от поперечного профиля УДС (наличие остановочных пунктов, заездных карманов, разделительной полосы, наличие и конструкция </w:t>
      </w:r>
      <w:proofErr w:type="spellStart"/>
      <w:r>
        <w:t>шумозащитного</w:t>
      </w:r>
      <w:proofErr w:type="spellEnd"/>
      <w:r>
        <w:t xml:space="preserve"> экрана, местоположение опор освещения).</w:t>
      </w:r>
    </w:p>
    <w:p w:rsidR="007D4BA9" w:rsidRDefault="007D4BA9">
      <w:pPr>
        <w:pStyle w:val="ConsPlusNormal"/>
        <w:spacing w:before="220"/>
        <w:ind w:firstLine="540"/>
        <w:jc w:val="both"/>
      </w:pPr>
      <w:r>
        <w:t>250. Инженерные коммуникации городского значения размещаются вдоль УДС за инженерными коммуникациями, предназначенными для обеспечения функционирования УДС, инженерные коммуникации районного значения - за магистральными инженерными сетями, ближе к застройке.</w:t>
      </w:r>
    </w:p>
    <w:p w:rsidR="007D4BA9" w:rsidRDefault="007D4BA9">
      <w:pPr>
        <w:pStyle w:val="ConsPlusNormal"/>
        <w:spacing w:before="220"/>
        <w:ind w:firstLine="540"/>
        <w:jc w:val="both"/>
      </w:pPr>
      <w:r>
        <w:t>251. На улицах с озеленением линейные объекты инженерной инфраструктуры городского и районного значения могут размещаться в красных линиях УДС вне проезжей части (за исключением пересечений), под разделительными полосами и полосами озеленения.</w:t>
      </w:r>
    </w:p>
    <w:p w:rsidR="007D4BA9" w:rsidRDefault="007D4BA9">
      <w:pPr>
        <w:pStyle w:val="ConsPlusNormal"/>
        <w:spacing w:before="220"/>
        <w:ind w:firstLine="540"/>
        <w:jc w:val="both"/>
      </w:pPr>
      <w:r>
        <w:t xml:space="preserve">252. При недостаточной ширине разделительных полос и полос озеленения возможно размещать подземные инженерные коммуникации под тротуарами (преимущественно инженерные коммуникации, необходимые для обеспечения функционирования самой УДС, тепловые сети, коммуникационные коллекторы, слаботочные кабельные линии и силовые кабельные линии напряжением до 20 </w:t>
      </w:r>
      <w:proofErr w:type="spellStart"/>
      <w:r>
        <w:t>кВ</w:t>
      </w:r>
      <w:proofErr w:type="spellEnd"/>
      <w:r>
        <w:t>).</w:t>
      </w:r>
    </w:p>
    <w:p w:rsidR="007D4BA9" w:rsidRDefault="007D4BA9">
      <w:pPr>
        <w:pStyle w:val="ConsPlusNormal"/>
        <w:spacing w:before="220"/>
        <w:ind w:firstLine="540"/>
        <w:jc w:val="both"/>
      </w:pPr>
      <w:r>
        <w:t xml:space="preserve">253. В зонах сохранения и комплексного благоустройства сложившихся территорий и в зонах комплексной реорганизации застроенных территорий при отсутствии возможности установления специально выделенной технической зоны инженерные коммуникации размещаются в пределах полосы отвода (красных линий) существующей или проектируемой УДС, а на территории зон ИЖС (одноквартирной) и малоэтажной застройки, на территории </w:t>
      </w:r>
      <w:proofErr w:type="spellStart"/>
      <w:r>
        <w:t>приквартирных</w:t>
      </w:r>
      <w:proofErr w:type="spellEnd"/>
      <w:r>
        <w:t xml:space="preserve"> участков - при согласии их владельцев.</w:t>
      </w:r>
    </w:p>
    <w:p w:rsidR="007D4BA9" w:rsidRDefault="007D4BA9">
      <w:pPr>
        <w:pStyle w:val="ConsPlusNormal"/>
        <w:spacing w:before="220"/>
        <w:ind w:firstLine="540"/>
        <w:jc w:val="both"/>
      </w:pPr>
      <w:r>
        <w:t>254. При отсутствии или недостаточной ширине разделительных полос, полос озеленения и тротуаров в красных линиях УДС подземные инженерные коммуникации могут размещаться в пределах проезжей части УДС. В этом случае инженерные коммуникации по возможности необходимо размещать у бордюра, что позволит во время их строительства, ремонта и эксплуатации уменьшить негативное влияние на пропускную способность УДС и безопасность дорожного движения.</w:t>
      </w:r>
    </w:p>
    <w:p w:rsidR="007D4BA9" w:rsidRDefault="007D4BA9">
      <w:pPr>
        <w:pStyle w:val="ConsPlusNormal"/>
        <w:spacing w:before="220"/>
        <w:ind w:firstLine="540"/>
        <w:jc w:val="both"/>
      </w:pPr>
      <w:r>
        <w:t xml:space="preserve">255. Размещение наземных элементов подземных инженерных коммуникаций, за исключением </w:t>
      </w:r>
      <w:proofErr w:type="spellStart"/>
      <w:r>
        <w:t>невыступающих</w:t>
      </w:r>
      <w:proofErr w:type="spellEnd"/>
      <w:r>
        <w:t xml:space="preserve"> </w:t>
      </w:r>
      <w:proofErr w:type="spellStart"/>
      <w:r>
        <w:t>коверов</w:t>
      </w:r>
      <w:proofErr w:type="spellEnd"/>
      <w:r>
        <w:t xml:space="preserve"> смотровых колодцев, в пределах проезжей части УДС не допускается.</w:t>
      </w:r>
    </w:p>
    <w:p w:rsidR="007D4BA9" w:rsidRDefault="007D4BA9">
      <w:pPr>
        <w:pStyle w:val="ConsPlusNormal"/>
        <w:spacing w:before="220"/>
        <w:ind w:firstLine="540"/>
        <w:jc w:val="both"/>
      </w:pPr>
      <w:r>
        <w:t xml:space="preserve">256. При строительстве, реконструкции и капитальном ремонте объектов на территории жилых, общественно-деловых, производственных зон, зон инженерной и транспортной инфраструктуры, улично-дорожной сети рекомендуется предусматривать устройства зарядной сервисной инфраструктуры электрического автомобильного транспорта с учетом противопожарных расстояний согласно </w:t>
      </w:r>
      <w:hyperlink r:id="rId69">
        <w:r>
          <w:rPr>
            <w:color w:val="0000FF"/>
          </w:rPr>
          <w:t>СП 4.13130.2013</w:t>
        </w:r>
      </w:hyperlink>
      <w:r>
        <w:t xml:space="preserve"> "Системы противопожарной защиты. Ограничение распространения пожара на объектах защиты. Требования к объемно-планировочным и конструктивным решениям", </w:t>
      </w:r>
      <w:hyperlink r:id="rId70">
        <w:r>
          <w:rPr>
            <w:color w:val="0000FF"/>
          </w:rPr>
          <w:t>СП 42.13330.2016</w:t>
        </w:r>
      </w:hyperlink>
      <w:r>
        <w:t xml:space="preserve"> "Свод правил. Градостроительство. Планировка и </w:t>
      </w:r>
      <w:r>
        <w:lastRenderedPageBreak/>
        <w:t>застройка городских и сельских поселений. Актуализированная редакция СНиП 2.07.01-89*".</w:t>
      </w:r>
    </w:p>
    <w:p w:rsidR="007D4BA9" w:rsidRDefault="007D4BA9">
      <w:pPr>
        <w:pStyle w:val="ConsPlusNormal"/>
        <w:spacing w:before="220"/>
        <w:ind w:firstLine="540"/>
        <w:jc w:val="both"/>
      </w:pPr>
      <w:r>
        <w:t>257. В первоочередном порядке пункты с устройствами зарядной сервисной инфраструктуры электрического автомобильного транспорта оборудуются на топливораздаточных колонках, автозаправочных станциях, станциях технического обслуживания, на стоянках автомобилей.</w:t>
      </w:r>
    </w:p>
    <w:p w:rsidR="007D4BA9" w:rsidRDefault="007D4BA9">
      <w:pPr>
        <w:pStyle w:val="ConsPlusNormal"/>
        <w:spacing w:before="220"/>
        <w:ind w:firstLine="540"/>
        <w:jc w:val="both"/>
      </w:pPr>
      <w:r>
        <w:t>258. Использование участков, занятых объектами и линиями связи, а также общими коллекторами для подземных коммуникаций на территории жилого района регламентируется в соответствии с республиканскими нормативами градостроительного проектирования Республики Татарстан.</w:t>
      </w:r>
    </w:p>
    <w:p w:rsidR="007D4BA9" w:rsidRDefault="007D4BA9">
      <w:pPr>
        <w:pStyle w:val="ConsPlusNormal"/>
        <w:spacing w:before="220"/>
        <w:ind w:firstLine="540"/>
        <w:jc w:val="both"/>
      </w:pPr>
      <w:r>
        <w:t xml:space="preserve">259. Линии связи рекомендуется размещать исключительно в подземном варианте и с учетом </w:t>
      </w:r>
      <w:hyperlink r:id="rId71">
        <w:r>
          <w:rPr>
            <w:color w:val="0000FF"/>
          </w:rPr>
          <w:t>Правил</w:t>
        </w:r>
      </w:hyperlink>
      <w:r>
        <w:t xml:space="preserve"> благоустройства города.</w:t>
      </w:r>
    </w:p>
    <w:p w:rsidR="007D4BA9" w:rsidRDefault="007D4BA9">
      <w:pPr>
        <w:pStyle w:val="ConsPlusNormal"/>
        <w:spacing w:before="220"/>
        <w:ind w:firstLine="540"/>
        <w:jc w:val="both"/>
      </w:pPr>
      <w:r>
        <w:t>260. Использование земель над кабельными линиями и под проводами и опорами воздушных линий связи, а также в створе радиорелейных станций должно осуществляться с соблюдением мер по обеспечению сохранности линий связи.</w:t>
      </w:r>
    </w:p>
    <w:p w:rsidR="007D4BA9" w:rsidRDefault="007D4BA9">
      <w:pPr>
        <w:pStyle w:val="ConsPlusNormal"/>
        <w:spacing w:before="220"/>
        <w:ind w:firstLine="540"/>
        <w:jc w:val="both"/>
      </w:pPr>
      <w:r>
        <w:t>261. Земельный участок должен быть благоустроен, озеленен и огражден.</w:t>
      </w:r>
    </w:p>
    <w:p w:rsidR="007D4BA9" w:rsidRDefault="007D4BA9">
      <w:pPr>
        <w:pStyle w:val="ConsPlusNormal"/>
        <w:spacing w:before="220"/>
        <w:ind w:firstLine="540"/>
        <w:jc w:val="both"/>
      </w:pPr>
      <w:r>
        <w:t>262. Выбор, отвод и использование земель для линий связи осуществляется в соответствии с требованиями законодательства.</w:t>
      </w:r>
    </w:p>
    <w:p w:rsidR="007D4BA9" w:rsidRDefault="007D4BA9">
      <w:pPr>
        <w:pStyle w:val="ConsPlusNormal"/>
        <w:spacing w:before="220"/>
        <w:ind w:firstLine="540"/>
        <w:jc w:val="both"/>
      </w:pPr>
      <w:r>
        <w:t xml:space="preserve">263. Проектирование линейно-кабельных сооружений должно осуществляться согласно республиканским </w:t>
      </w:r>
      <w:hyperlink r:id="rId72">
        <w:r>
          <w:rPr>
            <w:color w:val="0000FF"/>
          </w:rPr>
          <w:t>нормативам</w:t>
        </w:r>
      </w:hyperlink>
      <w:r>
        <w:t xml:space="preserve"> градостроительного проектирования Республики Татарстан и "</w:t>
      </w:r>
      <w:hyperlink r:id="rId73">
        <w:r>
          <w:rPr>
            <w:color w:val="0000FF"/>
          </w:rPr>
          <w:t>ГОСТ Р 56555-2015</w:t>
        </w:r>
      </w:hyperlink>
      <w:r>
        <w:t xml:space="preserve">. Национальный стандарт Российской Федерации. Слаботочные системы. Кабельные системы. </w:t>
      </w:r>
      <w:proofErr w:type="spellStart"/>
      <w:r>
        <w:t>Кабелепроводы</w:t>
      </w:r>
      <w:proofErr w:type="spellEnd"/>
      <w:r>
        <w:t xml:space="preserve"> и помещения (магистрали и промежутки для прокладки кабелей в помещениях пользователей телекоммуникационных систем)".</w:t>
      </w:r>
    </w:p>
    <w:p w:rsidR="007D4BA9" w:rsidRDefault="007D4BA9">
      <w:pPr>
        <w:pStyle w:val="ConsPlusNormal"/>
        <w:spacing w:before="220"/>
        <w:ind w:firstLine="540"/>
        <w:jc w:val="both"/>
      </w:pPr>
      <w:r>
        <w:t>264. В существующей застройке со стесненными условиями разрешается прохождение линий связи по территории частной собственности по согласованию с землепользователями с установлением частного сервитута и обеспечением беспрепятственного доступа для прокладки и обслуживания кабельной линии.</w:t>
      </w:r>
    </w:p>
    <w:p w:rsidR="007D4BA9" w:rsidRDefault="007D4BA9">
      <w:pPr>
        <w:pStyle w:val="ConsPlusNormal"/>
        <w:spacing w:before="220"/>
        <w:ind w:firstLine="540"/>
        <w:jc w:val="both"/>
      </w:pPr>
      <w:r>
        <w:t xml:space="preserve">265. Коммунальные коллекторы следует размещать согласно республиканским </w:t>
      </w:r>
      <w:hyperlink r:id="rId74">
        <w:r>
          <w:rPr>
            <w:color w:val="0000FF"/>
          </w:rPr>
          <w:t>нормативам</w:t>
        </w:r>
      </w:hyperlink>
      <w:r>
        <w:t xml:space="preserve"> градостроительного проектирования Республики Татарстан и СП 265.1325800.2016 "Свод правил. Коллекторы коммуникационные. Правила проектирования и строительства".</w:t>
      </w:r>
    </w:p>
    <w:p w:rsidR="007D4BA9" w:rsidRDefault="007D4BA9">
      <w:pPr>
        <w:pStyle w:val="ConsPlusNormal"/>
        <w:jc w:val="both"/>
      </w:pPr>
    </w:p>
    <w:p w:rsidR="007D4BA9" w:rsidRDefault="007D4BA9">
      <w:pPr>
        <w:pStyle w:val="ConsPlusTitle"/>
        <w:jc w:val="center"/>
        <w:outlineLvl w:val="2"/>
      </w:pPr>
      <w:r>
        <w:t>Глава 38. РАСЧЕТНЫЕ ПОКАЗАТЕЛИ МИНИМАЛЬНО ДОПУСТИМОГО УРОВНЯ</w:t>
      </w:r>
    </w:p>
    <w:p w:rsidR="007D4BA9" w:rsidRDefault="007D4BA9">
      <w:pPr>
        <w:pStyle w:val="ConsPlusTitle"/>
        <w:jc w:val="center"/>
      </w:pPr>
      <w:r>
        <w:t>ОБЕСПЕЧЕННОСТИ НАСЕЛЕНИЯ И ТЕРРИТОРИИ ГОРОДА НАБЕРЕЖНЫЕ</w:t>
      </w:r>
    </w:p>
    <w:p w:rsidR="007D4BA9" w:rsidRDefault="007D4BA9">
      <w:pPr>
        <w:pStyle w:val="ConsPlusTitle"/>
        <w:jc w:val="center"/>
      </w:pPr>
      <w:r>
        <w:t>ЧЕЛНЫ ОБЪЕКТАМИ ИНЖЕНЕРНОЙ ИНФРАСТРУКТУРЫ И ПОКАЗАТЕЛИ</w:t>
      </w:r>
    </w:p>
    <w:p w:rsidR="007D4BA9" w:rsidRDefault="007D4BA9">
      <w:pPr>
        <w:pStyle w:val="ConsPlusTitle"/>
        <w:jc w:val="center"/>
      </w:pPr>
      <w:r>
        <w:t>ОБЕСПЕЧЕННОСТИ ОБЪЕКТАМИ МЕСТНОГО ЗНАЧЕНИЯ</w:t>
      </w:r>
    </w:p>
    <w:p w:rsidR="007D4BA9" w:rsidRDefault="007D4BA9">
      <w:pPr>
        <w:pStyle w:val="ConsPlusNormal"/>
        <w:jc w:val="both"/>
      </w:pPr>
    </w:p>
    <w:p w:rsidR="007D4BA9" w:rsidRDefault="007D4BA9">
      <w:pPr>
        <w:pStyle w:val="ConsPlusNormal"/>
        <w:ind w:firstLine="540"/>
        <w:jc w:val="both"/>
      </w:pPr>
      <w:r>
        <w:t>266. Минимально допустимый уровень обеспеченности населения и территории объектами инженерной инфраструктуры выражается в следующих показателях:</w:t>
      </w:r>
    </w:p>
    <w:p w:rsidR="007D4BA9" w:rsidRDefault="007D4BA9">
      <w:pPr>
        <w:pStyle w:val="ConsPlusNormal"/>
        <w:spacing w:before="220"/>
        <w:ind w:firstLine="540"/>
        <w:jc w:val="both"/>
      </w:pPr>
      <w:r>
        <w:t>1) расчетных показателях, используемых для определения объемов потребления инженерных ресурсов с учетом планируемых мероприятий по ресурсосбережению, объемов водоотведения городских и поверхностных сточных вод, емкости сооружений информатики и связи;</w:t>
      </w:r>
    </w:p>
    <w:p w:rsidR="007D4BA9" w:rsidRDefault="007D4BA9">
      <w:pPr>
        <w:pStyle w:val="ConsPlusNormal"/>
        <w:spacing w:before="220"/>
        <w:ind w:firstLine="540"/>
        <w:jc w:val="both"/>
      </w:pPr>
      <w:r>
        <w:t xml:space="preserve">2) типах и видах объектов инженерной инфраструктуры, обеспечивающих повышение качества поставляемых ресурсов и оказываемых услуг в области водоснабжения и водоотведения, электро-, газо- и теплоснабжения, связи и информатики и сбалансированное перспективное развитие города </w:t>
      </w:r>
      <w:r w:rsidR="000B30E9">
        <w:t>Нижнекамск</w:t>
      </w:r>
      <w:r>
        <w:t xml:space="preserve"> в соответствии с потребностями в строительстве объектов капитального строительства с учетом установленных требований по безопасности, надежности, </w:t>
      </w:r>
      <w:r>
        <w:lastRenderedPageBreak/>
        <w:t>энергетической эффективности, рационального использования природных ресурсов, снижения негативного воздействия на окружающую среду и здоровье человека;</w:t>
      </w:r>
    </w:p>
    <w:p w:rsidR="007D4BA9" w:rsidRDefault="007D4BA9">
      <w:pPr>
        <w:pStyle w:val="ConsPlusNormal"/>
        <w:spacing w:before="220"/>
        <w:ind w:firstLine="540"/>
        <w:jc w:val="both"/>
      </w:pPr>
      <w:r>
        <w:t>3) размере земельных участков, необходимых для безопасного функционирования и проведения реконструкции (капремонта) существующих и размещения новых объектов инженерной инфраструктуры.</w:t>
      </w:r>
    </w:p>
    <w:p w:rsidR="007D4BA9" w:rsidRDefault="007D4BA9">
      <w:pPr>
        <w:pStyle w:val="ConsPlusNormal"/>
        <w:jc w:val="both"/>
      </w:pPr>
    </w:p>
    <w:p w:rsidR="007D4BA9" w:rsidRDefault="007D4BA9">
      <w:pPr>
        <w:pStyle w:val="ConsPlusTitle"/>
        <w:jc w:val="center"/>
        <w:outlineLvl w:val="2"/>
      </w:pPr>
      <w:r>
        <w:t>Глава 39. ОБЩИЕ ПРИНЦИПЫ ФОРМИРОВАНИЯ РАСЧЕТНЫХ ПОКАЗАТЕЛЕЙ</w:t>
      </w:r>
    </w:p>
    <w:p w:rsidR="007D4BA9" w:rsidRDefault="007D4BA9">
      <w:pPr>
        <w:pStyle w:val="ConsPlusTitle"/>
        <w:jc w:val="center"/>
      </w:pPr>
      <w:r>
        <w:t>ДЛЯ ОПРЕДЕЛЕНИЯ ОБЕСПЕЧЕННОСТИ НАСЕЛЕНИЯ И ТЕРРИТОРИИ ГОРОДА</w:t>
      </w:r>
    </w:p>
    <w:p w:rsidR="007D4BA9" w:rsidRDefault="000B30E9">
      <w:pPr>
        <w:pStyle w:val="ConsPlusTitle"/>
        <w:jc w:val="center"/>
      </w:pPr>
      <w:r>
        <w:t>НИЖНЕКАМСК</w:t>
      </w:r>
      <w:r w:rsidR="007D4BA9">
        <w:t xml:space="preserve"> ОБЪЕКТАМИ ИНЖЕНЕРНОЙ ИНФРАСТРУКТУРЫ</w:t>
      </w:r>
    </w:p>
    <w:p w:rsidR="007D4BA9" w:rsidRDefault="007D4BA9">
      <w:pPr>
        <w:pStyle w:val="ConsPlusNormal"/>
        <w:jc w:val="both"/>
      </w:pPr>
    </w:p>
    <w:p w:rsidR="007D4BA9" w:rsidRDefault="007D4BA9">
      <w:pPr>
        <w:pStyle w:val="ConsPlusNormal"/>
        <w:ind w:firstLine="540"/>
        <w:jc w:val="both"/>
      </w:pPr>
      <w:r>
        <w:t xml:space="preserve">267. Зона размещения и параметры объектов инженерной инфраструктуры федерального значения определяются Схемами территориального планирования Российской Федерации в области </w:t>
      </w:r>
      <w:hyperlink r:id="rId75">
        <w:r>
          <w:rPr>
            <w:color w:val="0000FF"/>
          </w:rPr>
          <w:t>энергетики</w:t>
        </w:r>
      </w:hyperlink>
      <w:r>
        <w:t xml:space="preserve"> и области федерального </w:t>
      </w:r>
      <w:hyperlink r:id="rId76">
        <w:r>
          <w:rPr>
            <w:color w:val="0000FF"/>
          </w:rPr>
          <w:t>транспорта</w:t>
        </w:r>
      </w:hyperlink>
      <w:r>
        <w:t xml:space="preserve"> (в части магистрального трубопроводного транспорта), отраслевыми схемами и программами развития и размещения объектов инженерной инфраструктуры федерального значения, утвержденными правовыми актами Правительства Российской Федерации и уполномоченных органов Российской Федерации.</w:t>
      </w:r>
    </w:p>
    <w:p w:rsidR="007D4BA9" w:rsidRDefault="007D4BA9">
      <w:pPr>
        <w:pStyle w:val="ConsPlusNormal"/>
        <w:spacing w:before="220"/>
        <w:ind w:firstLine="540"/>
        <w:jc w:val="both"/>
      </w:pPr>
      <w:r>
        <w:t xml:space="preserve">268. Зона размещения и параметры объектов инженерной инфраструктуры регионального (республиканского) значения определяются </w:t>
      </w:r>
      <w:hyperlink r:id="rId77">
        <w:r>
          <w:rPr>
            <w:color w:val="0000FF"/>
          </w:rPr>
          <w:t>Схемой</w:t>
        </w:r>
      </w:hyperlink>
      <w:r>
        <w:t xml:space="preserve"> территориального планирования Республики Татарстан, республиканскими отраслевыми схемами и программами, утвержденными правовыми актами Кабинета Министров Республики Татарстан и уполномоченных органов Республики Татарстан.</w:t>
      </w:r>
    </w:p>
    <w:p w:rsidR="007D4BA9" w:rsidRDefault="007D4BA9">
      <w:pPr>
        <w:pStyle w:val="ConsPlusNormal"/>
        <w:spacing w:before="220"/>
        <w:ind w:firstLine="540"/>
        <w:jc w:val="both"/>
      </w:pPr>
      <w:r>
        <w:t xml:space="preserve">269. Зона размещения и параметры объектов инженерной инфраструктуры местного значения определяются Генеральным </w:t>
      </w:r>
      <w:hyperlink r:id="rId78">
        <w:r>
          <w:rPr>
            <w:color w:val="0000FF"/>
          </w:rPr>
          <w:t>планом</w:t>
        </w:r>
      </w:hyperlink>
      <w:r>
        <w:t>, городскими отраслевыми схемами и программами, программой комплексного развития систем коммунальной инфраструктуры, утвержденными муниципальными правовыми актами.</w:t>
      </w:r>
    </w:p>
    <w:p w:rsidR="007D4BA9" w:rsidRDefault="007D4BA9">
      <w:pPr>
        <w:pStyle w:val="ConsPlusNormal"/>
        <w:spacing w:before="220"/>
        <w:ind w:firstLine="540"/>
        <w:jc w:val="both"/>
      </w:pPr>
      <w:r>
        <w:t>270. Определение потребности в объектах инженерной инфраструктуры районного значения и локальных, не включенных в утвержденные схемы и программы, осуществляется при разработке документации градостроительного проектирования, исходя из существующего состояния каждой из систем инженерной инфраструктуры, необходимости обеспечения потребителей в требуемом объеме и соответствующих параметров с учетом санитарных, градостроительных и экологических ограничений.</w:t>
      </w:r>
    </w:p>
    <w:p w:rsidR="007D4BA9" w:rsidRDefault="007D4BA9">
      <w:pPr>
        <w:pStyle w:val="ConsPlusNormal"/>
        <w:spacing w:before="220"/>
        <w:ind w:firstLine="540"/>
        <w:jc w:val="both"/>
      </w:pPr>
      <w:r>
        <w:t xml:space="preserve">271. Системы инженерного обеспечения должны проектироваться как единый комплекс, образующий инженерную инфраструктуру, обеспечивающую сбалансированное перспективное развитие территории города </w:t>
      </w:r>
      <w:r w:rsidR="000B30E9">
        <w:t>Нижнекамск</w:t>
      </w:r>
      <w:r>
        <w:t xml:space="preserve"> в целом и отдельных его частей на расчетный период в соответствии с установленными требованиями энергетической эффективности, снижения негативного воздействия на окружающую среду и здоровье человека и повышения качества оказываемых услуг в сферах водоснабжения и водоотведения, тепло-, электро- и газоснабжения, информатики и связи.</w:t>
      </w:r>
    </w:p>
    <w:p w:rsidR="007D4BA9" w:rsidRDefault="007D4BA9">
      <w:pPr>
        <w:pStyle w:val="ConsPlusNormal"/>
        <w:spacing w:before="220"/>
        <w:ind w:firstLine="540"/>
        <w:jc w:val="both"/>
      </w:pPr>
      <w:r>
        <w:t>272. Инженерная инфраструктура проектируется в увязке с существующей и перспективной планировочной организацией территории, улично-дорожной сетью, природными условиями (рельеф, зеленые насаждения), инженерно-геологическими условиями, размещением зон активного градостроительного развития.</w:t>
      </w:r>
    </w:p>
    <w:p w:rsidR="007D4BA9" w:rsidRDefault="007D4BA9">
      <w:pPr>
        <w:pStyle w:val="ConsPlusNormal"/>
        <w:spacing w:before="220"/>
        <w:ind w:firstLine="540"/>
        <w:jc w:val="both"/>
      </w:pPr>
      <w:r>
        <w:t>273. Выбор схем развития инженерной инфраструктуры должен осуществляться на основе оценки технико-экономического обоснования и максимального кооперирования систем инженерного обеспечения независимо от их ведомственной принадлежности.</w:t>
      </w:r>
    </w:p>
    <w:p w:rsidR="007D4BA9" w:rsidRDefault="007D4BA9">
      <w:pPr>
        <w:pStyle w:val="ConsPlusNormal"/>
        <w:spacing w:before="220"/>
        <w:ind w:firstLine="540"/>
        <w:jc w:val="both"/>
      </w:pPr>
      <w:r>
        <w:t xml:space="preserve">274. Развитие систем инженерной инфраструктуры, относящихся к системам жизнеобеспечения города </w:t>
      </w:r>
      <w:r w:rsidR="000B30E9">
        <w:t>Нижнекамск</w:t>
      </w:r>
      <w:r>
        <w:t xml:space="preserve">, должно осуществляться с учетом мероприятий по </w:t>
      </w:r>
      <w:r>
        <w:lastRenderedPageBreak/>
        <w:t>обеспечению бесперебойности и повышению надежности работы всех систем в целом и отдельных их элементов, по предупреждению чрезвычайных ситуаций мирного и военного характера и возможности их использования для ликвидации последствий чрезвычайных ситуаций:</w:t>
      </w:r>
    </w:p>
    <w:p w:rsidR="007D4BA9" w:rsidRDefault="007D4BA9">
      <w:pPr>
        <w:pStyle w:val="ConsPlusNormal"/>
        <w:spacing w:before="220"/>
        <w:ind w:firstLine="540"/>
        <w:jc w:val="both"/>
      </w:pPr>
      <w:r>
        <w:t xml:space="preserve">1) обеспечение объектов системы жизнеобеспечения, в том числе объектов инженерной инфраструктуры, автономными источниками </w:t>
      </w:r>
      <w:proofErr w:type="spellStart"/>
      <w:r>
        <w:t>энерго</w:t>
      </w:r>
      <w:proofErr w:type="spellEnd"/>
      <w:r>
        <w:t>- и водоснабжения;</w:t>
      </w:r>
    </w:p>
    <w:p w:rsidR="007D4BA9" w:rsidRDefault="007D4BA9">
      <w:pPr>
        <w:pStyle w:val="ConsPlusNormal"/>
        <w:spacing w:before="220"/>
        <w:ind w:firstLine="540"/>
        <w:jc w:val="both"/>
      </w:pPr>
      <w:r>
        <w:t>2) создание нормативного резерва производительности головных сооружений и пропускной способности линейных объектов инженерной инфраструктуры;</w:t>
      </w:r>
    </w:p>
    <w:p w:rsidR="007D4BA9" w:rsidRDefault="007D4BA9">
      <w:pPr>
        <w:pStyle w:val="ConsPlusNormal"/>
        <w:spacing w:before="220"/>
        <w:ind w:firstLine="540"/>
        <w:jc w:val="both"/>
      </w:pPr>
      <w:r>
        <w:t>3) внедрение современных безопасных технологий очистки питьевой воды и сточных вод;</w:t>
      </w:r>
    </w:p>
    <w:p w:rsidR="007D4BA9" w:rsidRDefault="007D4BA9">
      <w:pPr>
        <w:pStyle w:val="ConsPlusNormal"/>
        <w:spacing w:before="220"/>
        <w:ind w:firstLine="540"/>
        <w:jc w:val="both"/>
      </w:pPr>
      <w:r>
        <w:t>4) формирование кольцевых схем систем инженерного обеспечения с подключением их к двум и более источникам;</w:t>
      </w:r>
    </w:p>
    <w:p w:rsidR="007D4BA9" w:rsidRDefault="007D4BA9">
      <w:pPr>
        <w:pStyle w:val="ConsPlusNormal"/>
        <w:spacing w:before="220"/>
        <w:ind w:firstLine="540"/>
        <w:jc w:val="both"/>
      </w:pPr>
      <w:r>
        <w:t>5) установка пожарных гидрантов на водопроводных сетях, в том числе в зонах существующей и новой индивидуальной застройки;</w:t>
      </w:r>
    </w:p>
    <w:p w:rsidR="007D4BA9" w:rsidRDefault="007D4BA9">
      <w:pPr>
        <w:pStyle w:val="ConsPlusNormal"/>
        <w:spacing w:before="220"/>
        <w:ind w:firstLine="540"/>
        <w:jc w:val="both"/>
      </w:pPr>
      <w:r>
        <w:t>6) электроснабжение объектов жизнеобеспечения, в том числе объектов инженерной инфраструктуры, по кабельным линиям электропередачи;</w:t>
      </w:r>
    </w:p>
    <w:p w:rsidR="007D4BA9" w:rsidRDefault="007D4BA9">
      <w:pPr>
        <w:pStyle w:val="ConsPlusNormal"/>
        <w:spacing w:before="220"/>
        <w:ind w:firstLine="540"/>
        <w:jc w:val="both"/>
      </w:pPr>
      <w:r>
        <w:t xml:space="preserve">7) своевременная реконструкция или капитальный ремонт линейных объектов инженерной инфраструктуры, в том числе с применением современных бестраншейных методов и использованием полиэтиленовых труб, с целью снижения вероятности утечек в </w:t>
      </w:r>
      <w:proofErr w:type="spellStart"/>
      <w:r>
        <w:t>водонесущих</w:t>
      </w:r>
      <w:proofErr w:type="spellEnd"/>
      <w:r>
        <w:t xml:space="preserve"> сетях, приводящих к вымыванию грунта и образованию провалов, возникновению пожаров и взрывов на коммуникациях, аварий с розливом нефти и нефтепродуктов;</w:t>
      </w:r>
    </w:p>
    <w:p w:rsidR="007D4BA9" w:rsidRDefault="007D4BA9">
      <w:pPr>
        <w:pStyle w:val="ConsPlusNormal"/>
        <w:spacing w:before="220"/>
        <w:ind w:firstLine="540"/>
        <w:jc w:val="both"/>
      </w:pPr>
      <w:r>
        <w:t xml:space="preserve">8) капитальный ремонт и реконструкция гидротехнических сооружений (дамб, плотин и дренажной системы) с целью предотвращения затопления водами Нижнекамского водохранилища и подтопления поверхностными, грунтовыми, ливневыми, паводковыми водами значительных территорий города </w:t>
      </w:r>
      <w:r w:rsidR="000B30E9">
        <w:t>Нижнекамск</w:t>
      </w:r>
      <w:r>
        <w:t>;</w:t>
      </w:r>
    </w:p>
    <w:p w:rsidR="007D4BA9" w:rsidRDefault="007D4BA9">
      <w:pPr>
        <w:pStyle w:val="ConsPlusNormal"/>
        <w:spacing w:before="220"/>
        <w:ind w:firstLine="540"/>
        <w:jc w:val="both"/>
      </w:pPr>
      <w:r>
        <w:t>9) исключение (ограничение) размещения новых, реконструкции (расширения) существующих объектов или элементов объекта инженерной инфраструктуры на неблагоприятных участках местности и в зонах потенциальных природных и техногенных катастроф;</w:t>
      </w:r>
    </w:p>
    <w:p w:rsidR="007D4BA9" w:rsidRDefault="007D4BA9">
      <w:pPr>
        <w:pStyle w:val="ConsPlusNormal"/>
        <w:spacing w:before="220"/>
        <w:ind w:firstLine="540"/>
        <w:jc w:val="both"/>
      </w:pPr>
      <w:r>
        <w:t>10) оснащение объектов инженерной инфраструктуры автоматизированными системами автоматического контроля и дистанционного мониторинга;</w:t>
      </w:r>
    </w:p>
    <w:p w:rsidR="007D4BA9" w:rsidRDefault="007D4BA9">
      <w:pPr>
        <w:pStyle w:val="ConsPlusNormal"/>
        <w:spacing w:before="220"/>
        <w:ind w:firstLine="540"/>
        <w:jc w:val="both"/>
      </w:pPr>
      <w:r>
        <w:t>11) обеспечение аварийного освещения территорий и помещений;</w:t>
      </w:r>
    </w:p>
    <w:p w:rsidR="007D4BA9" w:rsidRDefault="007D4BA9">
      <w:pPr>
        <w:pStyle w:val="ConsPlusNormal"/>
        <w:spacing w:before="220"/>
        <w:ind w:firstLine="540"/>
        <w:jc w:val="both"/>
      </w:pPr>
      <w:r>
        <w:t>12) создание локальных и объединенных систем оповещения гражданской обороны и Единой государственной системы предупреждения и ликвидации чрезвычайных ситуаций.</w:t>
      </w:r>
    </w:p>
    <w:p w:rsidR="007D4BA9" w:rsidRDefault="007D4BA9">
      <w:pPr>
        <w:pStyle w:val="ConsPlusNormal"/>
        <w:spacing w:before="220"/>
        <w:ind w:firstLine="540"/>
        <w:jc w:val="both"/>
      </w:pPr>
      <w:r>
        <w:t xml:space="preserve">275. Размещение объектов инженерной инфраструктуры осуществляется с учетом ориентировочных санитарно-защитных зон, размеры которых установлены </w:t>
      </w:r>
      <w:hyperlink r:id="rId79">
        <w:r>
          <w:rPr>
            <w:color w:val="0000FF"/>
          </w:rPr>
          <w:t>СанПиН 2.2.1/2.1.1.1200-03</w:t>
        </w:r>
      </w:hyperlink>
      <w:r>
        <w:t xml:space="preserve"> "Санитарно-защитные зоны и санитарная классификация предприятий, сооружений и иных объектов".</w:t>
      </w:r>
    </w:p>
    <w:p w:rsidR="007D4BA9" w:rsidRDefault="007D4BA9">
      <w:pPr>
        <w:pStyle w:val="ConsPlusNormal"/>
        <w:spacing w:before="220"/>
        <w:ind w:firstLine="540"/>
        <w:jc w:val="both"/>
      </w:pPr>
      <w:r>
        <w:t xml:space="preserve">276. Уменьшение размеров санитарно-защитной зоны разрешается при условии внедрения современных технических и технологических решений, направленных на сокращение всех видов техногенных воздействий объекта на окружающую среду и здоровье населения. Проект сокращения санитарно-защитной зоны подлежит согласованию в установленном порядке с ФБУЗ "Центр гигиены и эпидемиологии в Республике Татарстан" и Территориальным отделом Управления </w:t>
      </w:r>
      <w:proofErr w:type="spellStart"/>
      <w:r>
        <w:t>Роспотребнадзора</w:t>
      </w:r>
      <w:proofErr w:type="spellEnd"/>
      <w:r>
        <w:t xml:space="preserve"> по Республике Татарстан в г. </w:t>
      </w:r>
      <w:r w:rsidR="000B30E9">
        <w:t>Нижнекамск</w:t>
      </w:r>
      <w:r>
        <w:t xml:space="preserve">, </w:t>
      </w:r>
      <w:proofErr w:type="spellStart"/>
      <w:r>
        <w:t>Актанышском</w:t>
      </w:r>
      <w:proofErr w:type="spellEnd"/>
      <w:r>
        <w:t xml:space="preserve">, </w:t>
      </w:r>
      <w:proofErr w:type="spellStart"/>
      <w:r>
        <w:t>Тукаевском</w:t>
      </w:r>
      <w:proofErr w:type="spellEnd"/>
      <w:r>
        <w:t xml:space="preserve">, </w:t>
      </w:r>
      <w:proofErr w:type="spellStart"/>
      <w:r>
        <w:t>Муслюмовском</w:t>
      </w:r>
      <w:proofErr w:type="spellEnd"/>
      <w:r>
        <w:t>, Мензелинском районах.</w:t>
      </w:r>
    </w:p>
    <w:p w:rsidR="007D4BA9" w:rsidRDefault="007D4BA9">
      <w:pPr>
        <w:pStyle w:val="ConsPlusNormal"/>
        <w:spacing w:before="220"/>
        <w:ind w:firstLine="540"/>
        <w:jc w:val="both"/>
      </w:pPr>
      <w:r>
        <w:lastRenderedPageBreak/>
        <w:t xml:space="preserve">277. Все новые, реконструируемые, </w:t>
      </w:r>
      <w:proofErr w:type="spellStart"/>
      <w:r>
        <w:t>перепрофилируемые</w:t>
      </w:r>
      <w:proofErr w:type="spellEnd"/>
      <w:r>
        <w:t xml:space="preserve"> и расширяемые объекты капитального строительства должны обеспечиваться централизованными системами водоснабжения, водоотведения городских сточных и поверхностных вод, электроснабжения, информатики и связи (телефонная связь, радиовещание, телевизионное вещание, пожарная и охранная сигнализация, диспетчерский контроль).</w:t>
      </w:r>
    </w:p>
    <w:p w:rsidR="007D4BA9" w:rsidRDefault="007D4BA9">
      <w:pPr>
        <w:pStyle w:val="ConsPlusNormal"/>
        <w:spacing w:before="220"/>
        <w:ind w:firstLine="540"/>
        <w:jc w:val="both"/>
      </w:pPr>
      <w:r>
        <w:t xml:space="preserve">278. На территории города </w:t>
      </w:r>
      <w:r w:rsidR="000B30E9">
        <w:t>Нижнекамск</w:t>
      </w:r>
      <w:r>
        <w:t xml:space="preserve"> предусматривается развитие общегородских централизованных и автономных систем инженерного обеспечения.</w:t>
      </w:r>
    </w:p>
    <w:p w:rsidR="007D4BA9" w:rsidRDefault="007D4BA9">
      <w:pPr>
        <w:pStyle w:val="ConsPlusNormal"/>
        <w:spacing w:before="220"/>
        <w:ind w:firstLine="540"/>
        <w:jc w:val="both"/>
      </w:pPr>
      <w:r>
        <w:t>279. При значительной удаленности районов застройки или отдельных объектов от общегородских централизованных систем разрешается формирование новых и расширение зоны действия существующих централизованных систем инженерного обеспечения.</w:t>
      </w:r>
    </w:p>
    <w:p w:rsidR="007D4BA9" w:rsidRDefault="007D4BA9">
      <w:pPr>
        <w:pStyle w:val="ConsPlusNormal"/>
        <w:spacing w:before="220"/>
        <w:ind w:firstLine="540"/>
        <w:jc w:val="both"/>
      </w:pPr>
      <w:r>
        <w:t>280. Новые и реконструируемые головные объекты инженерной инфраструктуры должны рассчитываться с учетом подключения существующих поселков ИЖС, в том числе поселков садоводческих объединений, к централизованным системам водоснабжения, водоотведения, электроснабжения, газоснабжения, телефонной связи, радиовещания, телевизионного вещания, пожарной и охранной сигнализации, диспетчерского контроля.</w:t>
      </w:r>
    </w:p>
    <w:p w:rsidR="007D4BA9" w:rsidRDefault="007D4BA9">
      <w:pPr>
        <w:pStyle w:val="ConsPlusNormal"/>
        <w:spacing w:before="220"/>
        <w:ind w:firstLine="540"/>
        <w:jc w:val="both"/>
      </w:pPr>
      <w:r>
        <w:t xml:space="preserve">281. Системы водоснабжения и водоотведения должны проектироваться как составные части комплексной системы водопользования и охраны окружающей среды города </w:t>
      </w:r>
      <w:r w:rsidR="000B30E9">
        <w:t>Нижнекамск</w:t>
      </w:r>
      <w:r>
        <w:t xml:space="preserve"> и Республики Татарстан с учетом схем функционирования и развития других отраслей, связанных с водным хозяйством: водным транспортом, рыбным хозяйством, энергетикой.</w:t>
      </w:r>
    </w:p>
    <w:p w:rsidR="007D4BA9" w:rsidRDefault="007D4BA9">
      <w:pPr>
        <w:pStyle w:val="ConsPlusNormal"/>
        <w:spacing w:before="220"/>
        <w:ind w:firstLine="540"/>
        <w:jc w:val="both"/>
      </w:pPr>
      <w:r>
        <w:t>282. Развитие общегородской централизованной системы водоснабжения предусматривается путем строительства новых и реконструкции действующих водопроводных узлов и водопроводных магистралей, и сетей для формирования единой закольцованной системы с включением в нее всех поверхностных и подземных источников водоснабжения городского и районного значения.</w:t>
      </w:r>
    </w:p>
    <w:p w:rsidR="007D4BA9" w:rsidRDefault="007D4BA9">
      <w:pPr>
        <w:pStyle w:val="ConsPlusNormal"/>
        <w:spacing w:before="220"/>
        <w:ind w:firstLine="540"/>
        <w:jc w:val="both"/>
      </w:pPr>
      <w:r>
        <w:t>283. Развитие общегородской централизованной системы водоотведения городских сточных вод предусматривается за счет реконструкции и модернизации биологических очистных сооружений канализации и очистных сооружений организации, осуществляющей холодное водоснабжение и (или) водоотведение и расширения их зон действия путем строительства новых и реконструкции действующих канализационных трубопроводов и канализационных насосных станций.</w:t>
      </w:r>
    </w:p>
    <w:p w:rsidR="007D4BA9" w:rsidRDefault="007D4BA9">
      <w:pPr>
        <w:pStyle w:val="ConsPlusNormal"/>
        <w:spacing w:before="220"/>
        <w:ind w:firstLine="540"/>
        <w:jc w:val="both"/>
      </w:pPr>
      <w:r>
        <w:t xml:space="preserve">284. Производственные сточные воды могут быть приняты в городские системы водоотведения при условии, что они не вызывают нарушения в работе канализационных сетей и сооружений, обеспечивают безопасность их эксплуатации и могут быть очищены совместно со сточными водами города </w:t>
      </w:r>
      <w:r w:rsidR="000B30E9">
        <w:t>Нижнекамск</w:t>
      </w:r>
      <w:r>
        <w:t xml:space="preserve"> до требований нормативов, удовлетворяющих гигиеническим требованиям к охране поверхностных вод, установленным </w:t>
      </w:r>
      <w:hyperlink r:id="rId80">
        <w:r>
          <w:rPr>
            <w:color w:val="0000FF"/>
          </w:rPr>
          <w:t>постановлением</w:t>
        </w:r>
      </w:hyperlink>
      <w:r>
        <w:t xml:space="preserve"> Главного государственного санитарного врача РФ от 28.01.2021 N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rsidR="007D4BA9" w:rsidRDefault="007D4BA9">
      <w:pPr>
        <w:pStyle w:val="ConsPlusNormal"/>
        <w:spacing w:before="220"/>
        <w:ind w:firstLine="540"/>
        <w:jc w:val="both"/>
      </w:pPr>
      <w:r>
        <w:t xml:space="preserve">285. Проектирование полной раздельной либо </w:t>
      </w:r>
      <w:proofErr w:type="spellStart"/>
      <w:r>
        <w:t>полураздельной</w:t>
      </w:r>
      <w:proofErr w:type="spellEnd"/>
      <w:r>
        <w:t xml:space="preserve"> системы водоотведения сточных вод разрешается при отсутствии альтернативных вариантов по техническим условиям.</w:t>
      </w:r>
    </w:p>
    <w:p w:rsidR="007D4BA9" w:rsidRDefault="007D4BA9">
      <w:pPr>
        <w:pStyle w:val="ConsPlusNormal"/>
        <w:spacing w:before="220"/>
        <w:ind w:firstLine="540"/>
        <w:jc w:val="both"/>
      </w:pPr>
      <w:r>
        <w:t xml:space="preserve">286. Сточные воды, не загрязненные в процессе производства либо условно чистые, должны быть использованы в системах </w:t>
      </w:r>
      <w:proofErr w:type="spellStart"/>
      <w:r>
        <w:t>оборотно</w:t>
      </w:r>
      <w:proofErr w:type="spellEnd"/>
      <w:r>
        <w:t>-повторного водоснабжения объектов промышленного, производственно-коммунального и транспортного назначения.</w:t>
      </w:r>
    </w:p>
    <w:p w:rsidR="007D4BA9" w:rsidRDefault="007D4BA9">
      <w:pPr>
        <w:pStyle w:val="ConsPlusNormal"/>
        <w:spacing w:before="220"/>
        <w:ind w:firstLine="540"/>
        <w:jc w:val="both"/>
      </w:pPr>
      <w:r>
        <w:lastRenderedPageBreak/>
        <w:t>287. Вся застроенная территория, включая УДС, должна быть обеспечена системой сбора, отвода и очистки поверхностного стока.</w:t>
      </w:r>
    </w:p>
    <w:p w:rsidR="007D4BA9" w:rsidRDefault="007D4BA9">
      <w:pPr>
        <w:pStyle w:val="ConsPlusNormal"/>
        <w:spacing w:before="220"/>
        <w:ind w:firstLine="540"/>
        <w:jc w:val="both"/>
      </w:pPr>
      <w:r>
        <w:t>288. Поверхностный сток с территорий промышленных предприятий, складских хозяйств, автохозяйств, а также с особо загрязненных участков, расположенных на селитебных территориях (загрязненных токсичными веществами органического и неорганического происхождения), должен подвергаться очистке на самостоятельных очистных сооружениях с преимущественным использованием очищенных вод на производственные нужды.</w:t>
      </w:r>
    </w:p>
    <w:p w:rsidR="007D4BA9" w:rsidRDefault="007D4BA9">
      <w:pPr>
        <w:pStyle w:val="ConsPlusNormal"/>
        <w:spacing w:before="220"/>
        <w:ind w:firstLine="540"/>
        <w:jc w:val="both"/>
      </w:pPr>
      <w:r>
        <w:t xml:space="preserve">289. Поверхностный сток с природных озелененных территорий (городских лесопарков) разрешается сбрасывать в водоемы без очистки при условии экологического обоснования и информации уполномоченных природоохранных организаций и Территориального отдела Управления </w:t>
      </w:r>
      <w:proofErr w:type="spellStart"/>
      <w:r>
        <w:t>Роспотребнадзора</w:t>
      </w:r>
      <w:proofErr w:type="spellEnd"/>
      <w:r>
        <w:t xml:space="preserve"> по Республике Татарстан в г. </w:t>
      </w:r>
      <w:r w:rsidR="000B30E9">
        <w:t>Нижнекамск</w:t>
      </w:r>
      <w:r>
        <w:t xml:space="preserve">, </w:t>
      </w:r>
      <w:proofErr w:type="spellStart"/>
      <w:r>
        <w:t>Актанышском</w:t>
      </w:r>
      <w:proofErr w:type="spellEnd"/>
      <w:r>
        <w:t xml:space="preserve">, </w:t>
      </w:r>
      <w:proofErr w:type="spellStart"/>
      <w:r>
        <w:t>Тукаевском</w:t>
      </w:r>
      <w:proofErr w:type="spellEnd"/>
      <w:r>
        <w:t xml:space="preserve">, </w:t>
      </w:r>
      <w:proofErr w:type="spellStart"/>
      <w:r>
        <w:t>Муслюмовском</w:t>
      </w:r>
      <w:proofErr w:type="spellEnd"/>
      <w:r>
        <w:t xml:space="preserve">, Мензелинском районах, за исключением выпусков в источник питьевого водоснабжения города </w:t>
      </w:r>
      <w:r w:rsidR="000B30E9">
        <w:t>Нижнекамск</w:t>
      </w:r>
      <w:r>
        <w:t>.</w:t>
      </w:r>
    </w:p>
    <w:p w:rsidR="007D4BA9" w:rsidRDefault="007D4BA9">
      <w:pPr>
        <w:pStyle w:val="ConsPlusNormal"/>
        <w:spacing w:before="220"/>
        <w:ind w:firstLine="540"/>
        <w:jc w:val="both"/>
      </w:pPr>
      <w:r>
        <w:t xml:space="preserve">290. Прием, отведение и очистка поверхностных (дождевых и талых), поливомоечных, дренажных сточных вод с территорий города </w:t>
      </w:r>
      <w:r w:rsidR="000B30E9">
        <w:t>Нижнекамск</w:t>
      </w:r>
      <w:r>
        <w:t xml:space="preserve"> (территории промышленных предприятий, стройплощадок, организаций, учреждений), а также нормативно чистых, нормативно очищенных производственных сточных вод в городскую водоотводящую систему должны осуществляться с учетом Схемы водоснабжения и водоотведения города </w:t>
      </w:r>
      <w:r w:rsidR="000B30E9">
        <w:t>Нижнекамск</w:t>
      </w:r>
      <w:r>
        <w:t>.</w:t>
      </w:r>
    </w:p>
    <w:p w:rsidR="007D4BA9" w:rsidRDefault="007D4BA9">
      <w:pPr>
        <w:pStyle w:val="ConsPlusNormal"/>
        <w:spacing w:before="220"/>
        <w:ind w:firstLine="540"/>
        <w:jc w:val="both"/>
      </w:pPr>
      <w:r>
        <w:t>291. При отсутствии возможности организации сбора и очистки поверхностного стока в условиях, существующих плотно застроенных городских территорий, разрешается прием поверхностных сточных вод с отдельных территорий в систему городских сточных вод (хозяйственно-бытовой канализации) при наличии технической возможности по техническим условиям организации, осуществляющей холодное водоснабжение и (или) водоотведение.</w:t>
      </w:r>
    </w:p>
    <w:p w:rsidR="007D4BA9" w:rsidRDefault="007D4BA9">
      <w:pPr>
        <w:pStyle w:val="ConsPlusNormal"/>
        <w:spacing w:before="220"/>
        <w:ind w:firstLine="540"/>
        <w:jc w:val="both"/>
      </w:pPr>
      <w:r>
        <w:t xml:space="preserve">292. Системы тепло-, электро- и газоснабжения должны проектироваться как части комплексной схемы энергоснабжения города </w:t>
      </w:r>
      <w:r w:rsidR="000B30E9">
        <w:t>Нижнекамск</w:t>
      </w:r>
      <w:r>
        <w:t xml:space="preserve"> в увязке с развитием топливно-энергетического комплекса Республики Татарстан.</w:t>
      </w:r>
    </w:p>
    <w:p w:rsidR="007D4BA9" w:rsidRDefault="007D4BA9">
      <w:pPr>
        <w:pStyle w:val="ConsPlusNormal"/>
        <w:spacing w:before="220"/>
        <w:ind w:firstLine="540"/>
        <w:jc w:val="both"/>
      </w:pPr>
      <w:r>
        <w:t xml:space="preserve">293. Теплоснабжение новых, реконструируемых, </w:t>
      </w:r>
      <w:proofErr w:type="spellStart"/>
      <w:r>
        <w:t>перепрофилируемых</w:t>
      </w:r>
      <w:proofErr w:type="spellEnd"/>
      <w:r>
        <w:t xml:space="preserve"> и расширяемых объектов (за исключением индивидуальной и малоэтажной жилой застройки, и объектов производственно-коммунального назначения, для которых по условиям производства требуются особые режимы теплоснабжения) осуществляется преимущественно путем подключения к системе централизованного теплоснабжения с учетом обеспечения надежности и энергетической эффективности теплоснабжения и потребления тепловой энергии.</w:t>
      </w:r>
    </w:p>
    <w:p w:rsidR="007D4BA9" w:rsidRDefault="007D4BA9">
      <w:pPr>
        <w:pStyle w:val="ConsPlusNormal"/>
        <w:spacing w:before="220"/>
        <w:ind w:firstLine="540"/>
        <w:jc w:val="both"/>
      </w:pPr>
      <w:r>
        <w:t>294. Решение о строительстве автономных источников тепловой энергии либо децентрализованном теплоснабжении в пределах радиусов эффективного теплоснабжения существующих источников тепла может быть принято органом местного самоуправления только при условии технико-экономического обоснования удовлетворения потребности в тепловой энергии потребителей за счет системы централизованного теплоснабжения существующих источников тепла.</w:t>
      </w:r>
    </w:p>
    <w:p w:rsidR="007D4BA9" w:rsidRDefault="007D4BA9">
      <w:pPr>
        <w:pStyle w:val="ConsPlusNormal"/>
        <w:spacing w:before="220"/>
        <w:ind w:firstLine="540"/>
        <w:jc w:val="both"/>
      </w:pPr>
      <w:r>
        <w:t>295. Выбор между реконструкцией существующего объекта по производству тепловой энергии и строительством нового такого объекта и (или) определение при строительстве нового объекта по производству тепловой энергии типа такого объекта и его характеристик осуществляются органом местного самоуправления на основании технико-экономического сравнения вариантов.</w:t>
      </w:r>
    </w:p>
    <w:p w:rsidR="007D4BA9" w:rsidRDefault="007D4BA9">
      <w:pPr>
        <w:pStyle w:val="ConsPlusNormal"/>
        <w:spacing w:before="220"/>
        <w:ind w:firstLine="540"/>
        <w:jc w:val="both"/>
      </w:pPr>
      <w:r>
        <w:t xml:space="preserve">296. Тепло- и газоснабжение индивидуальной (одноквартирной) и малоэтажной жилой застройки разрешается предусматривать как децентрализованным - от поквартирных </w:t>
      </w:r>
      <w:proofErr w:type="spellStart"/>
      <w:r>
        <w:t>теплогенераторов</w:t>
      </w:r>
      <w:proofErr w:type="spellEnd"/>
      <w:r>
        <w:t xml:space="preserve"> автономного типа, так и централизованным - от существующих или новых </w:t>
      </w:r>
      <w:r>
        <w:lastRenderedPageBreak/>
        <w:t>котельных. Использование электроэнергии на отопление и горячее водоснабжение не предусматривается.</w:t>
      </w:r>
    </w:p>
    <w:p w:rsidR="007D4BA9" w:rsidRDefault="007D4BA9">
      <w:pPr>
        <w:pStyle w:val="ConsPlusNormal"/>
        <w:spacing w:before="220"/>
        <w:ind w:firstLine="540"/>
        <w:jc w:val="both"/>
      </w:pPr>
      <w:r>
        <w:t>297. При новом строительстве и при реконструкции узлов подключения многоквартирных жилых домов и общественных зданий к централизованной системе теплоснабжения необходимо предусматривать внедрение автоматизированных индивидуальных тепловых пунктов.</w:t>
      </w:r>
    </w:p>
    <w:p w:rsidR="007D4BA9" w:rsidRDefault="007D4BA9">
      <w:pPr>
        <w:pStyle w:val="ConsPlusNormal"/>
        <w:spacing w:before="220"/>
        <w:ind w:firstLine="540"/>
        <w:jc w:val="both"/>
      </w:pPr>
      <w:r>
        <w:t xml:space="preserve">298. Определение требуемых параметров проектирования городских электрических сетей осуществляется согласно республиканским </w:t>
      </w:r>
      <w:hyperlink r:id="rId81">
        <w:r>
          <w:rPr>
            <w:color w:val="0000FF"/>
          </w:rPr>
          <w:t>нормативам</w:t>
        </w:r>
      </w:hyperlink>
      <w:r>
        <w:t xml:space="preserve"> градостроительного проектирования Республики Татарстан и </w:t>
      </w:r>
      <w:hyperlink r:id="rId82">
        <w:r>
          <w:rPr>
            <w:color w:val="0000FF"/>
          </w:rPr>
          <w:t>СП 134.13330.2012</w:t>
        </w:r>
      </w:hyperlink>
      <w:r>
        <w:t>.</w:t>
      </w:r>
    </w:p>
    <w:p w:rsidR="007D4BA9" w:rsidRDefault="007D4BA9">
      <w:pPr>
        <w:pStyle w:val="ConsPlusNormal"/>
        <w:spacing w:before="220"/>
        <w:ind w:firstLine="540"/>
        <w:jc w:val="both"/>
      </w:pPr>
      <w:r>
        <w:t>Подача газа в существующую газифицированную многоквартирную жилую застройку сохраняется.</w:t>
      </w:r>
    </w:p>
    <w:p w:rsidR="007D4BA9" w:rsidRDefault="007D4BA9">
      <w:pPr>
        <w:pStyle w:val="ConsPlusNormal"/>
        <w:spacing w:before="220"/>
        <w:ind w:firstLine="540"/>
        <w:jc w:val="both"/>
      </w:pPr>
      <w:r>
        <w:t>299. Газоснабжение новых многоквартирных высоко - этажных жилых домов не предусматривается, за исключением газоснабжения автономных источников теплоснабжения, размещаемых по решению органа местного самоуправления в зонах, удаленных от систем централизованного теплоснабжения.</w:t>
      </w:r>
    </w:p>
    <w:p w:rsidR="007D4BA9" w:rsidRDefault="007D4BA9">
      <w:pPr>
        <w:pStyle w:val="ConsPlusNormal"/>
        <w:spacing w:before="220"/>
        <w:ind w:firstLine="540"/>
        <w:jc w:val="both"/>
      </w:pPr>
      <w:r>
        <w:t>300. Природный газ в индивидуальных (одноквартирных) или малоэтажных жилых домах используется для приготовления пищи (в случае оборудования жилого дома газовыми плитами), отопления и горячего водоснабжения. Для приготовления пищи в индивидуальных (одноквартирных) или малоэтажных жилых домах разрешается установка электрических плит.</w:t>
      </w:r>
    </w:p>
    <w:p w:rsidR="007D4BA9" w:rsidRDefault="007D4BA9">
      <w:pPr>
        <w:pStyle w:val="ConsPlusNormal"/>
        <w:spacing w:before="220"/>
        <w:ind w:firstLine="540"/>
        <w:jc w:val="both"/>
      </w:pPr>
      <w:r>
        <w:t xml:space="preserve">301. Нормативы потребления коммунальных услуг в отношении холодного и горячего водоснабжения, водоотведения, тепло-, газо- и электроснабжения населением города </w:t>
      </w:r>
      <w:r w:rsidR="000B30E9">
        <w:t>Нижнекамск</w:t>
      </w:r>
      <w:r>
        <w:t xml:space="preserve"> утверждаются правовыми актами Министерства строительства, архитектуры и жилищно-коммунального хозяйства Республики Татарстан.</w:t>
      </w:r>
    </w:p>
    <w:p w:rsidR="007D4BA9" w:rsidRDefault="007D4BA9">
      <w:pPr>
        <w:pStyle w:val="ConsPlusNormal"/>
        <w:spacing w:before="220"/>
        <w:ind w:firstLine="540"/>
        <w:jc w:val="both"/>
      </w:pPr>
      <w:r>
        <w:t>302. Правила, которые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 определены законодательством Российской Федерации (</w:t>
      </w:r>
      <w:hyperlink r:id="rId83">
        <w:r>
          <w:rPr>
            <w:color w:val="0000FF"/>
          </w:rPr>
          <w:t>ГОСТ Р 51617-2014</w:t>
        </w:r>
      </w:hyperlink>
      <w:r>
        <w:t xml:space="preserve">, </w:t>
      </w:r>
      <w:hyperlink r:id="rId84">
        <w:r>
          <w:rPr>
            <w:color w:val="0000FF"/>
          </w:rPr>
          <w:t>постановление</w:t>
        </w:r>
      </w:hyperlink>
      <w:r>
        <w:t xml:space="preserve"> Правительства Российской Федерации от 06.05.2011 N 354 "О предоставлении коммунальных услуг собственникам и пользователям помещений в многоквартирных домах и жилых домов").</w:t>
      </w:r>
    </w:p>
    <w:p w:rsidR="007D4BA9" w:rsidRDefault="007D4BA9">
      <w:pPr>
        <w:pStyle w:val="ConsPlusNormal"/>
        <w:spacing w:before="220"/>
        <w:ind w:firstLine="540"/>
        <w:jc w:val="both"/>
      </w:pPr>
      <w:r>
        <w:t xml:space="preserve">303. При разработке документации градостроительного проектирования используются расчетные показатели расходов воды на хозяйственно-питьевые нужды, расходов тепловой и электрической энергии, природного газа, нефтепродуктов, емкости сооружений информатики и связи, объемов водоотведения городских сточных вод, приведенные в </w:t>
      </w:r>
      <w:hyperlink w:anchor="P2133">
        <w:r>
          <w:rPr>
            <w:color w:val="0000FF"/>
          </w:rPr>
          <w:t>Главах 40</w:t>
        </w:r>
      </w:hyperlink>
      <w:r>
        <w:t xml:space="preserve"> - </w:t>
      </w:r>
      <w:hyperlink w:anchor="P2168">
        <w:r>
          <w:rPr>
            <w:color w:val="0000FF"/>
          </w:rPr>
          <w:t>44</w:t>
        </w:r>
      </w:hyperlink>
      <w:r>
        <w:t xml:space="preserve"> Местных нормативов.</w:t>
      </w:r>
    </w:p>
    <w:p w:rsidR="007D4BA9" w:rsidRDefault="007D4BA9">
      <w:pPr>
        <w:pStyle w:val="ConsPlusNormal"/>
        <w:jc w:val="both"/>
      </w:pPr>
    </w:p>
    <w:p w:rsidR="007D4BA9" w:rsidRDefault="007D4BA9">
      <w:pPr>
        <w:pStyle w:val="ConsPlusTitle"/>
        <w:jc w:val="center"/>
        <w:outlineLvl w:val="2"/>
      </w:pPr>
      <w:bookmarkStart w:id="33" w:name="P2133"/>
      <w:bookmarkEnd w:id="33"/>
      <w:r>
        <w:t>Глава 40. РАСЧЕТНЫЕ ПОКАЗАТЕЛИ, ИСПОЛЬЗУЕМЫЕ ДЛЯ ОПРЕДЕЛЕНИЯ</w:t>
      </w:r>
    </w:p>
    <w:p w:rsidR="007D4BA9" w:rsidRDefault="007D4BA9">
      <w:pPr>
        <w:pStyle w:val="ConsPlusTitle"/>
        <w:jc w:val="center"/>
      </w:pPr>
      <w:r>
        <w:t>РАСХОДОВ ВОДЫ НА ХОЗЯЙСТВЕННО-ПИТЬЕВЫЕ НУЖДЫ</w:t>
      </w:r>
    </w:p>
    <w:p w:rsidR="007D4BA9" w:rsidRDefault="007D4BA9">
      <w:pPr>
        <w:pStyle w:val="ConsPlusNormal"/>
        <w:jc w:val="both"/>
      </w:pPr>
    </w:p>
    <w:p w:rsidR="007D4BA9" w:rsidRDefault="007D4BA9">
      <w:pPr>
        <w:pStyle w:val="ConsPlusNormal"/>
        <w:ind w:firstLine="540"/>
        <w:jc w:val="both"/>
      </w:pPr>
      <w:r>
        <w:lastRenderedPageBreak/>
        <w:t xml:space="preserve">304. Качество воды, подаваемой на хозяйственно-питьевые нужды, должно соответствовать требованиям </w:t>
      </w:r>
      <w:hyperlink r:id="rId85">
        <w:r>
          <w:rPr>
            <w:color w:val="0000FF"/>
          </w:rPr>
          <w:t>СанПиН 1.2.3685-21</w:t>
        </w:r>
      </w:hyperlink>
      <w:r>
        <w:t xml:space="preserve"> "Питьевая вода. Гигиенические требования к качеству воды централизованных систем питьевого водоснабжения. Контроль качества".</w:t>
      </w:r>
    </w:p>
    <w:p w:rsidR="007D4BA9" w:rsidRDefault="007D4BA9">
      <w:pPr>
        <w:pStyle w:val="ConsPlusNormal"/>
        <w:spacing w:before="220"/>
        <w:ind w:firstLine="540"/>
        <w:jc w:val="both"/>
      </w:pPr>
      <w:r>
        <w:t xml:space="preserve">305. Расход воды на хозяйственно-питьевые нужды в существующей застройке принимается по отчетным данным организации, осуществляющей холодное водоснабжение и (или) водоотведение, осуществляющего водоснабжение города </w:t>
      </w:r>
      <w:r w:rsidR="000B30E9">
        <w:t>Нижнекамск</w:t>
      </w:r>
      <w:r>
        <w:t>.</w:t>
      </w:r>
    </w:p>
    <w:p w:rsidR="007D4BA9" w:rsidRDefault="007D4BA9">
      <w:pPr>
        <w:pStyle w:val="ConsPlusNormal"/>
        <w:spacing w:before="220"/>
        <w:ind w:firstLine="540"/>
        <w:jc w:val="both"/>
      </w:pPr>
      <w:r>
        <w:t xml:space="preserve">306. Расчетное среднесуточное водопотребление в целом по городу </w:t>
      </w:r>
      <w:r w:rsidR="000B30E9">
        <w:t>Нижнекамск</w:t>
      </w:r>
      <w:r>
        <w:t xml:space="preserve"> определяется как сумма расходов воды на хозяйственно-питьевые нужды и нужды производственных предприятий.</w:t>
      </w:r>
    </w:p>
    <w:p w:rsidR="007D4BA9" w:rsidRDefault="007D4BA9">
      <w:pPr>
        <w:pStyle w:val="ConsPlusNormal"/>
        <w:spacing w:before="220"/>
        <w:ind w:firstLine="540"/>
        <w:jc w:val="both"/>
      </w:pPr>
      <w:r>
        <w:t xml:space="preserve">307. При подготовке документации по планировке территории расчет объема водопотребления на хозяйственно-питьевые нужды производится в соответствии с </w:t>
      </w:r>
      <w:hyperlink r:id="rId86">
        <w:r>
          <w:rPr>
            <w:color w:val="0000FF"/>
          </w:rPr>
          <w:t>СП 31.13330.2021</w:t>
        </w:r>
      </w:hyperlink>
      <w:r>
        <w:t xml:space="preserve"> с учетом степени благоустройства районов жилой застройки и видов объектов общественного и производственно-коммунального назначения.</w:t>
      </w:r>
    </w:p>
    <w:p w:rsidR="007D4BA9" w:rsidRDefault="007D4BA9">
      <w:pPr>
        <w:pStyle w:val="ConsPlusNormal"/>
        <w:spacing w:before="220"/>
        <w:ind w:firstLine="540"/>
        <w:jc w:val="both"/>
      </w:pPr>
      <w:r>
        <w:t>308. Расчетный расход воды на производственные нужды существующих промышленных предприятий принимается по фактическим замерам (по отчетным данным организаций, осуществляющих их водоснабжение, или по данным самих промышленных предприятий) с учетом перспективы развития (реконструкции) этих предприятий; проектируемых промышленных предприятий - по проектам аналогичных производств или на основании технологических данных этих предприятий.</w:t>
      </w:r>
    </w:p>
    <w:p w:rsidR="007D4BA9" w:rsidRDefault="007D4BA9">
      <w:pPr>
        <w:pStyle w:val="ConsPlusNormal"/>
        <w:spacing w:before="220"/>
        <w:ind w:firstLine="540"/>
        <w:jc w:val="both"/>
      </w:pPr>
      <w:r>
        <w:t>309. Расход питьевой воды на поливку улиц и зеленых насаждений на территориях общего пользования, на территориях промышленных предприятий и приусадебных участках малоэтажной и индивидуальной жилой застройки должен приниматься в зависимости от вида покрытия территории, способа ее поливки и вида насаждений в соответствии с СП 30.13330.2020 "Свод правил. Внутренний водопровод и канализация зданий. СНиП 2.04.01-85".</w:t>
      </w:r>
    </w:p>
    <w:p w:rsidR="007D4BA9" w:rsidRDefault="007D4BA9">
      <w:pPr>
        <w:pStyle w:val="ConsPlusNormal"/>
        <w:spacing w:before="220"/>
        <w:ind w:firstLine="540"/>
        <w:jc w:val="both"/>
      </w:pPr>
      <w:r>
        <w:t xml:space="preserve">310. Расходы воды на пожаротушение принимаются в соответствии с </w:t>
      </w:r>
      <w:hyperlink r:id="rId87">
        <w:r>
          <w:rPr>
            <w:color w:val="0000FF"/>
          </w:rPr>
          <w:t>приказом</w:t>
        </w:r>
      </w:hyperlink>
      <w:r>
        <w:t xml:space="preserve"> МЧС России от 30.03.2020 N 225 "Об утверждении свода правил СП 8.13130 "Системы противопожарной защиты. Наружное противопожарное водоснабжение. Требования пожарной безопасности" и </w:t>
      </w:r>
      <w:hyperlink r:id="rId88">
        <w:r>
          <w:rPr>
            <w:color w:val="0000FF"/>
          </w:rPr>
          <w:t>приказом</w:t>
        </w:r>
      </w:hyperlink>
      <w:r>
        <w:t xml:space="preserve"> МЧС России от 27.07.2020 N 559 "Об утверждении свода правил СП 10.13130 "Системы противопожарной защиты. Внутренний противопожарный водопровод. Нормы и правила проектирования".</w:t>
      </w:r>
    </w:p>
    <w:p w:rsidR="007D4BA9" w:rsidRDefault="007D4BA9">
      <w:pPr>
        <w:pStyle w:val="ConsPlusNormal"/>
        <w:spacing w:before="220"/>
        <w:ind w:firstLine="540"/>
        <w:jc w:val="both"/>
      </w:pPr>
      <w:r>
        <w:t xml:space="preserve">311. Для расчета производительности водопроводных сооружений и пропускной способности водопроводной сети учитываются расчетные расходы воды в сутки наибольшего и наименьшего водопотребления, которые определяются в соответствии с </w:t>
      </w:r>
      <w:hyperlink r:id="rId89">
        <w:r>
          <w:rPr>
            <w:color w:val="0000FF"/>
          </w:rPr>
          <w:t>СП 31.13330.2021</w:t>
        </w:r>
      </w:hyperlink>
      <w:r>
        <w:t xml:space="preserve"> "Свод правил. Водоснабжение. Наружные сети и сооружения. СНиП 2.04.02-84".</w:t>
      </w:r>
    </w:p>
    <w:p w:rsidR="007D4BA9" w:rsidRDefault="007D4BA9">
      <w:pPr>
        <w:pStyle w:val="ConsPlusNormal"/>
        <w:jc w:val="both"/>
      </w:pPr>
    </w:p>
    <w:p w:rsidR="007D4BA9" w:rsidRDefault="007D4BA9">
      <w:pPr>
        <w:pStyle w:val="ConsPlusTitle"/>
        <w:jc w:val="center"/>
        <w:outlineLvl w:val="2"/>
      </w:pPr>
      <w:r>
        <w:t>Глава 41. РАСЧЕТНЫЕ ПОКАЗАТЕЛИ, ИСПОЛЬЗУЕМЫЕ ДЛЯ ОПРЕДЕЛЕНИЯ</w:t>
      </w:r>
    </w:p>
    <w:p w:rsidR="007D4BA9" w:rsidRDefault="007D4BA9">
      <w:pPr>
        <w:pStyle w:val="ConsPlusTitle"/>
        <w:jc w:val="center"/>
      </w:pPr>
      <w:r>
        <w:t>ОБЪЕМОВ ВОДООТВЕДЕНИЯ ГОРОДСКИХ СТОЧНЫХ ВОД</w:t>
      </w:r>
    </w:p>
    <w:p w:rsidR="007D4BA9" w:rsidRDefault="007D4BA9">
      <w:pPr>
        <w:pStyle w:val="ConsPlusNormal"/>
        <w:jc w:val="both"/>
      </w:pPr>
    </w:p>
    <w:p w:rsidR="007D4BA9" w:rsidRDefault="007D4BA9">
      <w:pPr>
        <w:pStyle w:val="ConsPlusNormal"/>
        <w:ind w:firstLine="540"/>
        <w:jc w:val="both"/>
      </w:pPr>
      <w:r>
        <w:t xml:space="preserve">312. Объем водоотведения в существующей застройке принимается по отчетным данным организации, осуществляющей холодное водоснабжение и (или) водоотведение, осуществляющего прием сточных вод с территории города </w:t>
      </w:r>
      <w:r w:rsidR="000B30E9">
        <w:t>Нижнекамск</w:t>
      </w:r>
      <w:r>
        <w:t>.</w:t>
      </w:r>
    </w:p>
    <w:p w:rsidR="007D4BA9" w:rsidRDefault="007D4BA9">
      <w:pPr>
        <w:pStyle w:val="ConsPlusNormal"/>
        <w:spacing w:before="220"/>
        <w:ind w:firstLine="540"/>
        <w:jc w:val="both"/>
      </w:pPr>
      <w:r>
        <w:t>313. При проектировании систем хозяйственно-бытовой канализации расчетное удельное среднесуточное (за один год) водоотведение бытовых сточных вод от жилых зданий следует принимать равным расчетному удельному среднесуточному (за один год) водопотреблению без учета расхода воды на полив территорий и зеленых насаждений.</w:t>
      </w:r>
    </w:p>
    <w:p w:rsidR="007D4BA9" w:rsidRDefault="007D4BA9">
      <w:pPr>
        <w:pStyle w:val="ConsPlusNormal"/>
        <w:spacing w:before="220"/>
        <w:ind w:firstLine="540"/>
        <w:jc w:val="both"/>
      </w:pPr>
      <w:r>
        <w:t xml:space="preserve">314. Расчет расходов городских сточных вод производится в соответствии с </w:t>
      </w:r>
      <w:hyperlink r:id="rId90">
        <w:r>
          <w:rPr>
            <w:color w:val="0000FF"/>
          </w:rPr>
          <w:t>СП 32.13330.2018</w:t>
        </w:r>
      </w:hyperlink>
      <w:r>
        <w:t xml:space="preserve"> </w:t>
      </w:r>
      <w:r>
        <w:lastRenderedPageBreak/>
        <w:t>"Свод правил. Канализация. Наружные сети и сооружения. СНиП 2.04.03-85".</w:t>
      </w:r>
    </w:p>
    <w:p w:rsidR="007D4BA9" w:rsidRDefault="007D4BA9">
      <w:pPr>
        <w:pStyle w:val="ConsPlusNormal"/>
        <w:jc w:val="both"/>
      </w:pPr>
    </w:p>
    <w:p w:rsidR="007D4BA9" w:rsidRDefault="007D4BA9">
      <w:pPr>
        <w:pStyle w:val="ConsPlusTitle"/>
        <w:jc w:val="center"/>
        <w:outlineLvl w:val="2"/>
      </w:pPr>
      <w:r>
        <w:t>Глава 42. РАСЧЕТНЫЕ ПОКАЗАТЕЛИ, ИСПОЛЬЗУЕМЫЕ ДЛЯ ОПРЕДЕЛЕНИЯ</w:t>
      </w:r>
    </w:p>
    <w:p w:rsidR="007D4BA9" w:rsidRDefault="007D4BA9">
      <w:pPr>
        <w:pStyle w:val="ConsPlusTitle"/>
        <w:jc w:val="center"/>
      </w:pPr>
      <w:r>
        <w:t>ОБЪЕМОВ ПОВЕРХНОСТНЫХ СТОЧНЫХ ВОД</w:t>
      </w:r>
    </w:p>
    <w:p w:rsidR="007D4BA9" w:rsidRDefault="007D4BA9">
      <w:pPr>
        <w:pStyle w:val="ConsPlusNormal"/>
        <w:jc w:val="both"/>
      </w:pPr>
    </w:p>
    <w:p w:rsidR="007D4BA9" w:rsidRDefault="007D4BA9">
      <w:pPr>
        <w:pStyle w:val="ConsPlusNormal"/>
        <w:ind w:firstLine="540"/>
        <w:jc w:val="both"/>
      </w:pPr>
      <w:r>
        <w:t xml:space="preserve">315. При подготовке Генерального </w:t>
      </w:r>
      <w:hyperlink r:id="rId91">
        <w:r>
          <w:rPr>
            <w:color w:val="0000FF"/>
          </w:rPr>
          <w:t>плана</w:t>
        </w:r>
      </w:hyperlink>
      <w:r>
        <w:t xml:space="preserve"> суточный объем поверхностного стока, поступающий на очистные сооружения с территорий жилых и общественно-деловых зон города </w:t>
      </w:r>
      <w:r w:rsidR="000B30E9">
        <w:t>Нижнекамск</w:t>
      </w:r>
      <w:r>
        <w:t xml:space="preserve">, рассчитывается в соответствии с </w:t>
      </w:r>
      <w:hyperlink r:id="rId92">
        <w:r>
          <w:rPr>
            <w:color w:val="0000FF"/>
          </w:rPr>
          <w:t>СП 42.13330.2016</w:t>
        </w:r>
      </w:hyperlink>
      <w:r>
        <w:t xml:space="preserve"> "Свод правил. Градостроительство. Планировка и застройка городских и сельских поселений. Актуализированная редакция СНиП 2.07.01-89" в зависимости от структурной части территории.</w:t>
      </w:r>
    </w:p>
    <w:p w:rsidR="007D4BA9" w:rsidRDefault="007D4BA9">
      <w:pPr>
        <w:pStyle w:val="ConsPlusNormal"/>
        <w:spacing w:before="220"/>
        <w:ind w:firstLine="540"/>
        <w:jc w:val="both"/>
      </w:pPr>
      <w:r>
        <w:t xml:space="preserve">316. При разработке документации по планировке территории расчет объемов поверхностных сточных вод осуществляется в соответствии с </w:t>
      </w:r>
      <w:hyperlink r:id="rId93">
        <w:r>
          <w:rPr>
            <w:color w:val="0000FF"/>
          </w:rPr>
          <w:t>СП 32.13330.2018</w:t>
        </w:r>
      </w:hyperlink>
      <w:r>
        <w:t xml:space="preserve"> "Свод правил. Канализация. Наружные сети и сооружения. СНиП 2.04.03-85".</w:t>
      </w:r>
    </w:p>
    <w:p w:rsidR="007D4BA9" w:rsidRDefault="007D4BA9">
      <w:pPr>
        <w:pStyle w:val="ConsPlusNormal"/>
        <w:jc w:val="both"/>
      </w:pPr>
    </w:p>
    <w:p w:rsidR="007D4BA9" w:rsidRDefault="007D4BA9">
      <w:pPr>
        <w:pStyle w:val="ConsPlusTitle"/>
        <w:jc w:val="center"/>
        <w:outlineLvl w:val="2"/>
      </w:pPr>
      <w:r>
        <w:t>Глава 43. РАСЧЕТНЫЕ ПОКАЗАТЕЛИ, ИСПОЛЬЗУЕМЫЕ</w:t>
      </w:r>
    </w:p>
    <w:p w:rsidR="007D4BA9" w:rsidRDefault="007D4BA9">
      <w:pPr>
        <w:pStyle w:val="ConsPlusTitle"/>
        <w:jc w:val="center"/>
      </w:pPr>
      <w:r>
        <w:t>ДЛЯ ОПРЕДЕЛЕНИЯ ТЕПЛОВОЙ НАГРУЗКИ</w:t>
      </w:r>
    </w:p>
    <w:p w:rsidR="007D4BA9" w:rsidRDefault="007D4BA9">
      <w:pPr>
        <w:pStyle w:val="ConsPlusNormal"/>
        <w:jc w:val="both"/>
      </w:pPr>
    </w:p>
    <w:p w:rsidR="007D4BA9" w:rsidRDefault="007D4BA9">
      <w:pPr>
        <w:pStyle w:val="ConsPlusNormal"/>
        <w:ind w:firstLine="540"/>
        <w:jc w:val="both"/>
      </w:pPr>
      <w:r>
        <w:t>317. Основным расчетным показателем для проектирования объектов системы теплоснабжения является суммарная расчетная тепловая нагрузка, которая включает в себя тепловую нагрузку на отопление, вентиляцию и горячее водоснабжение.</w:t>
      </w:r>
    </w:p>
    <w:p w:rsidR="007D4BA9" w:rsidRDefault="007D4BA9">
      <w:pPr>
        <w:pStyle w:val="ConsPlusNormal"/>
        <w:spacing w:before="220"/>
        <w:ind w:firstLine="540"/>
        <w:jc w:val="both"/>
      </w:pPr>
      <w:r>
        <w:t xml:space="preserve">318. Тепловая нагрузка существующей застройки принимается по отчетным данным организаций, осуществляющих теплоснабжение города </w:t>
      </w:r>
      <w:r w:rsidR="000B30E9">
        <w:t>Нижнекамск</w:t>
      </w:r>
      <w:r>
        <w:t>.</w:t>
      </w:r>
    </w:p>
    <w:p w:rsidR="007D4BA9" w:rsidRDefault="007D4BA9">
      <w:pPr>
        <w:pStyle w:val="ConsPlusNormal"/>
        <w:spacing w:before="220"/>
        <w:ind w:firstLine="540"/>
        <w:jc w:val="both"/>
      </w:pPr>
      <w:r>
        <w:t xml:space="preserve">319. При разработке Генерального </w:t>
      </w:r>
      <w:hyperlink r:id="rId94">
        <w:r>
          <w:rPr>
            <w:color w:val="0000FF"/>
          </w:rPr>
          <w:t>плана</w:t>
        </w:r>
      </w:hyperlink>
      <w:r>
        <w:t xml:space="preserve"> удельные показатели расхода тепловой энергии на отопление и горячее водоснабжение принимаются в соответствии с </w:t>
      </w:r>
      <w:hyperlink r:id="rId95">
        <w:r>
          <w:rPr>
            <w:color w:val="0000FF"/>
          </w:rPr>
          <w:t>приказом</w:t>
        </w:r>
      </w:hyperlink>
      <w:r>
        <w:t xml:space="preserve"> Министерства энергетики Российской Федерации от 08.11.2019 N 1194 "Об утверждении актуализации схемы теплоснабжения города </w:t>
      </w:r>
      <w:r w:rsidR="000B30E9">
        <w:t>Нижнекамск</w:t>
      </w:r>
      <w:r>
        <w:t xml:space="preserve"> на 2020 год на период до 2034 года". Удельные показатели расхода тепловой энергии на отопление и горячее водоснабжение применяются с учетом периода, на который разрабатывается документация градостроительного проектирования.</w:t>
      </w:r>
    </w:p>
    <w:p w:rsidR="007D4BA9" w:rsidRDefault="007D4BA9">
      <w:pPr>
        <w:pStyle w:val="ConsPlusNormal"/>
        <w:spacing w:before="220"/>
        <w:ind w:firstLine="540"/>
        <w:jc w:val="both"/>
      </w:pPr>
      <w:r>
        <w:t xml:space="preserve">320. При последующей актуализации и корректировке схемы теплоснабжения города </w:t>
      </w:r>
      <w:r w:rsidR="000B30E9">
        <w:t>Нижнекамск</w:t>
      </w:r>
      <w:r>
        <w:t xml:space="preserve"> удельные показатели расхода тепловой энергии на отопление и горячее водоснабжение могут быть откорректированы.</w:t>
      </w:r>
    </w:p>
    <w:p w:rsidR="007D4BA9" w:rsidRDefault="007D4BA9">
      <w:pPr>
        <w:pStyle w:val="ConsPlusNormal"/>
        <w:spacing w:before="220"/>
        <w:ind w:firstLine="540"/>
        <w:jc w:val="both"/>
      </w:pPr>
      <w:r>
        <w:t xml:space="preserve">321. При подготовке документации по планировке территории расчет ориентировочной максимальной тепловой нагрузки на отопление, вентиляцию и горячее водоснабжение новых и реконструируемых жилых и общественных зданий производится в соответствии с </w:t>
      </w:r>
      <w:hyperlink r:id="rId96">
        <w:r>
          <w:rPr>
            <w:color w:val="0000FF"/>
          </w:rPr>
          <w:t>СП 124.13330.2012</w:t>
        </w:r>
      </w:hyperlink>
      <w:r>
        <w:t xml:space="preserve"> и </w:t>
      </w:r>
      <w:hyperlink r:id="rId97">
        <w:r>
          <w:rPr>
            <w:color w:val="0000FF"/>
          </w:rPr>
          <w:t>СП 50.13330.2012</w:t>
        </w:r>
      </w:hyperlink>
      <w:r>
        <w:t>.</w:t>
      </w:r>
    </w:p>
    <w:p w:rsidR="007D4BA9" w:rsidRDefault="007D4BA9">
      <w:pPr>
        <w:pStyle w:val="ConsPlusNormal"/>
        <w:spacing w:before="220"/>
        <w:ind w:firstLine="540"/>
        <w:jc w:val="both"/>
      </w:pPr>
      <w:r>
        <w:t>322. Расчетная укрупненная тепловая нагрузка существующих промышленных предприятий принимается по фактическим замерам (по данным теплоснабжающих организаций или самих промышленных предприятий) с учетом перспективы развития (реконструкции) этих предприятий; проектируемых промышленных предприятий - по укрупненным нормам развития основного (профильного) производства, по проектам аналогичных производств или на основании технологических данных этих предприятий.</w:t>
      </w:r>
    </w:p>
    <w:p w:rsidR="007D4BA9" w:rsidRDefault="007D4BA9">
      <w:pPr>
        <w:pStyle w:val="ConsPlusNormal"/>
        <w:jc w:val="both"/>
      </w:pPr>
    </w:p>
    <w:p w:rsidR="007D4BA9" w:rsidRDefault="007D4BA9">
      <w:pPr>
        <w:pStyle w:val="ConsPlusTitle"/>
        <w:jc w:val="center"/>
        <w:outlineLvl w:val="2"/>
      </w:pPr>
      <w:bookmarkStart w:id="34" w:name="P2168"/>
      <w:bookmarkEnd w:id="34"/>
      <w:r>
        <w:t>Глава 44. РАСЧЕТНЫЕ ПОКАЗАТЕЛИ, ИСПОЛЬЗУЕМЫЕ</w:t>
      </w:r>
    </w:p>
    <w:p w:rsidR="007D4BA9" w:rsidRDefault="007D4BA9">
      <w:pPr>
        <w:pStyle w:val="ConsPlusTitle"/>
        <w:jc w:val="center"/>
      </w:pPr>
      <w:r>
        <w:t>ДЛЯ ОПРЕДЕЛЕНИЯ ЭЛЕКТРИЧЕСКИХ НАГРУЗОК</w:t>
      </w:r>
    </w:p>
    <w:p w:rsidR="007D4BA9" w:rsidRDefault="007D4BA9">
      <w:pPr>
        <w:pStyle w:val="ConsPlusNormal"/>
        <w:jc w:val="both"/>
      </w:pPr>
    </w:p>
    <w:p w:rsidR="007D4BA9" w:rsidRDefault="007D4BA9">
      <w:pPr>
        <w:pStyle w:val="ConsPlusNormal"/>
        <w:ind w:firstLine="540"/>
        <w:jc w:val="both"/>
      </w:pPr>
      <w:r>
        <w:t xml:space="preserve">323. Электрическая нагрузка существующей застройки принимается по отчетным данным организаций, осуществляющих электроснабжение города </w:t>
      </w:r>
      <w:r w:rsidR="000B30E9">
        <w:t>Нижнекамск</w:t>
      </w:r>
      <w:r>
        <w:t>.</w:t>
      </w:r>
    </w:p>
    <w:p w:rsidR="007D4BA9" w:rsidRDefault="007D4BA9">
      <w:pPr>
        <w:pStyle w:val="ConsPlusNormal"/>
        <w:spacing w:before="220"/>
        <w:ind w:firstLine="540"/>
        <w:jc w:val="both"/>
      </w:pPr>
      <w:r>
        <w:t xml:space="preserve">324. При разработке документации по планировке территории расчетная электрическая </w:t>
      </w:r>
      <w:r>
        <w:lastRenderedPageBreak/>
        <w:t xml:space="preserve">нагрузка жилого района, микрорайона, квартала определяется как сумма расчетной электрической нагрузки жилых зданий и зданий общественного и коммунального назначения в соответствии с </w:t>
      </w:r>
      <w:hyperlink r:id="rId98">
        <w:r>
          <w:rPr>
            <w:color w:val="0000FF"/>
          </w:rPr>
          <w:t>СП 31-110-2003</w:t>
        </w:r>
      </w:hyperlink>
      <w:r>
        <w:t xml:space="preserve"> и </w:t>
      </w:r>
      <w:hyperlink r:id="rId99">
        <w:r>
          <w:rPr>
            <w:color w:val="0000FF"/>
          </w:rPr>
          <w:t>РД.34.20.185-94</w:t>
        </w:r>
      </w:hyperlink>
      <w:r>
        <w:t>.</w:t>
      </w:r>
    </w:p>
    <w:p w:rsidR="007D4BA9" w:rsidRDefault="007D4BA9">
      <w:pPr>
        <w:pStyle w:val="ConsPlusNormal"/>
        <w:spacing w:before="220"/>
        <w:ind w:firstLine="540"/>
        <w:jc w:val="both"/>
      </w:pPr>
      <w:r>
        <w:t xml:space="preserve">325. Расчетная укрупненная электрическая нагрузка существующих промышленных предприятий и предприятий производственно-коммунального назначения районного и городского значения принимается по фактическим замерам (по данным </w:t>
      </w:r>
      <w:proofErr w:type="spellStart"/>
      <w:r>
        <w:t>энергоснабжающих</w:t>
      </w:r>
      <w:proofErr w:type="spellEnd"/>
      <w:r>
        <w:t xml:space="preserve"> организаций или самих предприятий) с учетом перспективы развития (реконструкции) этих предприятий; проектируемых предприятий - по проектам аналогичных производств или на основании технологических данных этих предприятий.</w:t>
      </w:r>
    </w:p>
    <w:p w:rsidR="007D4BA9" w:rsidRDefault="007D4BA9">
      <w:pPr>
        <w:pStyle w:val="ConsPlusNormal"/>
        <w:spacing w:before="220"/>
        <w:ind w:firstLine="540"/>
        <w:jc w:val="both"/>
      </w:pPr>
      <w:r>
        <w:t xml:space="preserve">326. При разработке проекта Генерального </w:t>
      </w:r>
      <w:hyperlink r:id="rId100">
        <w:r>
          <w:rPr>
            <w:color w:val="0000FF"/>
          </w:rPr>
          <w:t>плана</w:t>
        </w:r>
      </w:hyperlink>
      <w:r>
        <w:t xml:space="preserve"> укрупненная расчетная электрическая нагрузка на шинах 10 (6) </w:t>
      </w:r>
      <w:proofErr w:type="spellStart"/>
      <w:r>
        <w:t>кВ</w:t>
      </w:r>
      <w:proofErr w:type="spellEnd"/>
      <w:r>
        <w:t xml:space="preserve"> ПЦ определяется как сумма укрупненных электрических нагрузок коммунально-бытового сектора и промышленности в соответствии с </w:t>
      </w:r>
      <w:hyperlink r:id="rId101">
        <w:r>
          <w:rPr>
            <w:color w:val="0000FF"/>
          </w:rPr>
          <w:t>РД.34.20.185-94</w:t>
        </w:r>
      </w:hyperlink>
      <w:r>
        <w:t>.</w:t>
      </w:r>
    </w:p>
    <w:p w:rsidR="007D4BA9" w:rsidRDefault="007D4BA9">
      <w:pPr>
        <w:pStyle w:val="ConsPlusNormal"/>
        <w:jc w:val="both"/>
      </w:pPr>
    </w:p>
    <w:p w:rsidR="007D4BA9" w:rsidRDefault="007D4BA9">
      <w:pPr>
        <w:pStyle w:val="ConsPlusTitle"/>
        <w:jc w:val="center"/>
        <w:outlineLvl w:val="2"/>
      </w:pPr>
      <w:r>
        <w:t>Глава 45. ИНЖЕНЕРНАЯ ЗАЩИТА. ОБЩИЕ ПОЛОЖЕНИЯ</w:t>
      </w:r>
    </w:p>
    <w:p w:rsidR="007D4BA9" w:rsidRDefault="007D4BA9">
      <w:pPr>
        <w:pStyle w:val="ConsPlusTitle"/>
        <w:jc w:val="center"/>
      </w:pPr>
      <w:r>
        <w:t>ПО ИНЖЕНЕРНОЙ ПОДГОТОВКЕ ТЕРРИТОРИИ</w:t>
      </w:r>
    </w:p>
    <w:p w:rsidR="007D4BA9" w:rsidRDefault="007D4BA9">
      <w:pPr>
        <w:pStyle w:val="ConsPlusNormal"/>
        <w:jc w:val="both"/>
      </w:pPr>
    </w:p>
    <w:p w:rsidR="007D4BA9" w:rsidRDefault="007D4BA9">
      <w:pPr>
        <w:pStyle w:val="ConsPlusNormal"/>
        <w:ind w:firstLine="540"/>
        <w:jc w:val="both"/>
      </w:pPr>
      <w:r>
        <w:t xml:space="preserve">327. Необходимость инженерной защиты определяется в соответствии с положениями Градостроительного </w:t>
      </w:r>
      <w:hyperlink r:id="rId102">
        <w:r>
          <w:rPr>
            <w:color w:val="0000FF"/>
          </w:rPr>
          <w:t>кодекса</w:t>
        </w:r>
      </w:hyperlink>
      <w:r>
        <w:t xml:space="preserve"> Российской Федерации в части развития территории города </w:t>
      </w:r>
      <w:r w:rsidR="000B30E9">
        <w:t>Нижнекамск</w:t>
      </w:r>
      <w:r>
        <w:t>:</w:t>
      </w:r>
    </w:p>
    <w:p w:rsidR="007D4BA9" w:rsidRDefault="007D4BA9">
      <w:pPr>
        <w:pStyle w:val="ConsPlusNormal"/>
        <w:spacing w:before="220"/>
        <w:ind w:firstLine="540"/>
        <w:jc w:val="both"/>
      </w:pPr>
      <w:r>
        <w:t>1) для вновь застраиваемых территорий - в проектах документов территориального планирования, документации по планировке территории с учетом вариантности планировочных и технических решений и снижения возможных неблагоприятных последствий чрезвычайных ситуаций природного и техногенного характера;</w:t>
      </w:r>
    </w:p>
    <w:p w:rsidR="007D4BA9" w:rsidRDefault="007D4BA9">
      <w:pPr>
        <w:pStyle w:val="ConsPlusNormal"/>
        <w:spacing w:before="220"/>
        <w:ind w:firstLine="540"/>
        <w:jc w:val="both"/>
      </w:pPr>
      <w:r>
        <w:t xml:space="preserve">2) для застроенных территорий - в проектной документации на осуществление строительства, реконструкции и </w:t>
      </w:r>
      <w:proofErr w:type="gramStart"/>
      <w:r>
        <w:t>капитального ремонта объекта с учетом существующих планировочных решений</w:t>
      </w:r>
      <w:proofErr w:type="gramEnd"/>
      <w:r>
        <w:t xml:space="preserve"> и снижения возможных неблагоприятных последствий чрезвычайных ситуаций природного и техногенного характера.</w:t>
      </w:r>
    </w:p>
    <w:p w:rsidR="007D4BA9" w:rsidRDefault="007D4BA9">
      <w:pPr>
        <w:pStyle w:val="ConsPlusNormal"/>
        <w:spacing w:before="220"/>
        <w:ind w:firstLine="540"/>
        <w:jc w:val="both"/>
      </w:pPr>
      <w:r>
        <w:t>328. Цель инженерной подготовки территории - обеспечение безопасности проживания населения, создание благоприятных условий для рационального функционирования застройки, системы инженерной инфраструктуры, сохранности ландшафтных и водных объектов, а также зеленых массивов. Мероприятия по инженерной подготовке осуществляются с учетом прогноза изменения инженерно-геологических условий, характера использования и планировочной организации территории.</w:t>
      </w:r>
    </w:p>
    <w:p w:rsidR="007D4BA9" w:rsidRDefault="007D4BA9">
      <w:pPr>
        <w:pStyle w:val="ConsPlusNormal"/>
        <w:spacing w:before="220"/>
        <w:ind w:firstLine="540"/>
        <w:jc w:val="both"/>
      </w:pPr>
      <w:r>
        <w:t>329. При проектировании инженерной защиты следует обеспечивать:</w:t>
      </w:r>
    </w:p>
    <w:p w:rsidR="007D4BA9" w:rsidRDefault="007D4BA9">
      <w:pPr>
        <w:pStyle w:val="ConsPlusNormal"/>
        <w:spacing w:before="220"/>
        <w:ind w:firstLine="540"/>
        <w:jc w:val="both"/>
      </w:pPr>
      <w:r>
        <w:t>1) предотвращение, устранение или снижение до допустимого уровня отрицательного воздействия на защищаемые территории, здания и сооружения действующих и связанных с ними возможных опасных процессов;</w:t>
      </w:r>
    </w:p>
    <w:p w:rsidR="007D4BA9" w:rsidRDefault="007D4BA9">
      <w:pPr>
        <w:pStyle w:val="ConsPlusNormal"/>
        <w:spacing w:before="220"/>
        <w:ind w:firstLine="540"/>
        <w:jc w:val="both"/>
      </w:pPr>
      <w:r>
        <w:t>2) производство работ способами, не приводящими к появлению новых и (или) интенсификации действующих геологических процессов;</w:t>
      </w:r>
    </w:p>
    <w:p w:rsidR="007D4BA9" w:rsidRDefault="007D4BA9">
      <w:pPr>
        <w:pStyle w:val="ConsPlusNormal"/>
        <w:spacing w:before="220"/>
        <w:ind w:firstLine="540"/>
        <w:jc w:val="both"/>
      </w:pPr>
      <w:r>
        <w:t>3) сохранение заповедных зон, ландшафтов, исторических объектов;</w:t>
      </w:r>
    </w:p>
    <w:p w:rsidR="007D4BA9" w:rsidRDefault="007D4BA9">
      <w:pPr>
        <w:pStyle w:val="ConsPlusNormal"/>
        <w:spacing w:before="220"/>
        <w:ind w:firstLine="540"/>
        <w:jc w:val="both"/>
      </w:pPr>
      <w:r>
        <w:t>4) надлежащее архитектурное оформление сооружений инженерной защиты;</w:t>
      </w:r>
    </w:p>
    <w:p w:rsidR="007D4BA9" w:rsidRDefault="007D4BA9">
      <w:pPr>
        <w:pStyle w:val="ConsPlusNormal"/>
        <w:spacing w:before="220"/>
        <w:ind w:firstLine="540"/>
        <w:jc w:val="both"/>
      </w:pPr>
      <w:r>
        <w:t>5) сочетание с мероприятиями по охране окружающей среды;</w:t>
      </w:r>
    </w:p>
    <w:p w:rsidR="007D4BA9" w:rsidRDefault="007D4BA9">
      <w:pPr>
        <w:pStyle w:val="ConsPlusNormal"/>
        <w:spacing w:before="220"/>
        <w:ind w:firstLine="540"/>
        <w:jc w:val="both"/>
      </w:pPr>
      <w:r>
        <w:t xml:space="preserve">6) в необходимых случаях - систематические наблюдения за состоянием защищаемых территорий и объектов и за работой сооружений инженерной защиты в период строительства и </w:t>
      </w:r>
      <w:r>
        <w:lastRenderedPageBreak/>
        <w:t>эксплуатации (мониторинг);</w:t>
      </w:r>
    </w:p>
    <w:p w:rsidR="007D4BA9" w:rsidRDefault="007D4BA9">
      <w:pPr>
        <w:pStyle w:val="ConsPlusNormal"/>
        <w:spacing w:before="220"/>
        <w:ind w:firstLine="540"/>
        <w:jc w:val="both"/>
      </w:pPr>
      <w:r>
        <w:t>7) соблюдение расчетного гидрогеологического режима грунтов оснований, а также предотвращение развития эрозионных и других физико-геологических процессов, приводящих к нежелательному изменению природных условий и недопустимым нарушениям осваиваемой территории.</w:t>
      </w:r>
    </w:p>
    <w:p w:rsidR="007D4BA9" w:rsidRDefault="007D4BA9">
      <w:pPr>
        <w:pStyle w:val="ConsPlusNormal"/>
        <w:spacing w:before="220"/>
        <w:ind w:firstLine="540"/>
        <w:jc w:val="both"/>
      </w:pPr>
      <w:r>
        <w:t>330. Принятие градостроительных решений должно основываться на результатах анализа инженерно-геологической обстановки и действующих опасных геологических процессов. Окончательное решение принимается после технико-экономического сравнения вариантов, учитывая комплексную стоимость мероприятий по инженерной подготовке, конструктивных решений и эксплуатационных расходов, а также безопасность принятого варианта. При этом инженерная подготовка территории должна обеспечивать возможность градостроительного освоения территорий, подлежащих застройке.</w:t>
      </w:r>
    </w:p>
    <w:p w:rsidR="007D4BA9" w:rsidRDefault="007D4BA9">
      <w:pPr>
        <w:pStyle w:val="ConsPlusNormal"/>
        <w:spacing w:before="220"/>
        <w:ind w:firstLine="540"/>
        <w:jc w:val="both"/>
      </w:pPr>
      <w:r>
        <w:t>331. Мероприятия по инженерной защите от опасных геологических процессов должны быть предусмотрены и выполняться в соответствии с действующими нормативными документами.</w:t>
      </w:r>
    </w:p>
    <w:p w:rsidR="007D4BA9" w:rsidRDefault="007D4BA9">
      <w:pPr>
        <w:pStyle w:val="ConsPlusNormal"/>
        <w:spacing w:before="220"/>
        <w:ind w:firstLine="540"/>
        <w:jc w:val="both"/>
      </w:pPr>
      <w:r>
        <w:t xml:space="preserve">332. Планировка и застройка территорий, расположенных на специальных грунтах, осуществляется в соответствии с требованиями </w:t>
      </w:r>
      <w:hyperlink r:id="rId103">
        <w:r>
          <w:rPr>
            <w:color w:val="0000FF"/>
          </w:rPr>
          <w:t>СП 21.13330.2012</w:t>
        </w:r>
      </w:hyperlink>
      <w:r>
        <w:t>.</w:t>
      </w:r>
    </w:p>
    <w:p w:rsidR="007D4BA9" w:rsidRDefault="007D4BA9">
      <w:pPr>
        <w:pStyle w:val="ConsPlusNormal"/>
        <w:jc w:val="both"/>
      </w:pPr>
    </w:p>
    <w:p w:rsidR="007D4BA9" w:rsidRDefault="007D4BA9">
      <w:pPr>
        <w:pStyle w:val="ConsPlusTitle"/>
        <w:jc w:val="center"/>
        <w:outlineLvl w:val="2"/>
      </w:pPr>
      <w:r>
        <w:t>Глава 46. КЛАССИФИКАТОР ОБЪЕКТОВ ИНЖЕНЕРНОЙ</w:t>
      </w:r>
    </w:p>
    <w:p w:rsidR="007D4BA9" w:rsidRDefault="007D4BA9">
      <w:pPr>
        <w:pStyle w:val="ConsPlusTitle"/>
        <w:jc w:val="center"/>
      </w:pPr>
      <w:r>
        <w:t xml:space="preserve">ЗАЩИТЫ ГОРОДА </w:t>
      </w:r>
      <w:r w:rsidR="000B30E9">
        <w:t>НИЖНЕКАМСК</w:t>
      </w:r>
    </w:p>
    <w:p w:rsidR="007D4BA9" w:rsidRDefault="007D4BA9">
      <w:pPr>
        <w:pStyle w:val="ConsPlusNormal"/>
        <w:jc w:val="both"/>
      </w:pPr>
    </w:p>
    <w:p w:rsidR="007D4BA9" w:rsidRDefault="007D4BA9">
      <w:pPr>
        <w:pStyle w:val="ConsPlusNormal"/>
        <w:ind w:firstLine="540"/>
        <w:jc w:val="both"/>
      </w:pPr>
      <w:r>
        <w:t xml:space="preserve">333. К объектам инженерной защиты на территории города </w:t>
      </w:r>
      <w:r w:rsidR="000B30E9">
        <w:t>Нижнекамск</w:t>
      </w:r>
      <w:r>
        <w:t xml:space="preserve"> отнесены:</w:t>
      </w:r>
    </w:p>
    <w:p w:rsidR="007D4BA9" w:rsidRDefault="007D4BA9">
      <w:pPr>
        <w:pStyle w:val="ConsPlusNormal"/>
        <w:spacing w:before="220"/>
        <w:ind w:firstLine="540"/>
        <w:jc w:val="both"/>
      </w:pPr>
      <w:r>
        <w:t>1) противооползневые сооружения (</w:t>
      </w:r>
      <w:proofErr w:type="spellStart"/>
      <w:r>
        <w:t>водопонизительные</w:t>
      </w:r>
      <w:proofErr w:type="spellEnd"/>
      <w:r>
        <w:t xml:space="preserve"> устройства, удерживающие сооружения, улавливающие сооружения);</w:t>
      </w:r>
    </w:p>
    <w:p w:rsidR="007D4BA9" w:rsidRDefault="007D4BA9">
      <w:pPr>
        <w:pStyle w:val="ConsPlusNormal"/>
        <w:spacing w:before="220"/>
        <w:ind w:firstLine="540"/>
        <w:jc w:val="both"/>
      </w:pPr>
      <w:r>
        <w:t xml:space="preserve">2) </w:t>
      </w:r>
      <w:proofErr w:type="spellStart"/>
      <w:r>
        <w:t>противокарстовые</w:t>
      </w:r>
      <w:proofErr w:type="spellEnd"/>
      <w:r>
        <w:t xml:space="preserve"> сооружения (противофильтрационные устройства, гидроизоляция, вертикальная планировка);</w:t>
      </w:r>
    </w:p>
    <w:p w:rsidR="007D4BA9" w:rsidRDefault="007D4BA9">
      <w:pPr>
        <w:pStyle w:val="ConsPlusNormal"/>
        <w:spacing w:before="220"/>
        <w:ind w:firstLine="540"/>
        <w:jc w:val="both"/>
      </w:pPr>
      <w:r>
        <w:t xml:space="preserve">3) берегозащитные сооружения (дамбы обвалования, волнозащитные, </w:t>
      </w:r>
      <w:proofErr w:type="spellStart"/>
      <w:r>
        <w:t>волногасящие</w:t>
      </w:r>
      <w:proofErr w:type="spellEnd"/>
      <w:r>
        <w:t xml:space="preserve">, </w:t>
      </w:r>
      <w:proofErr w:type="spellStart"/>
      <w:r>
        <w:t>пляжеудерживающие</w:t>
      </w:r>
      <w:proofErr w:type="spellEnd"/>
      <w:r>
        <w:t xml:space="preserve">, регулирующие, струенаправляющие, </w:t>
      </w:r>
      <w:proofErr w:type="spellStart"/>
      <w:r>
        <w:t>склоноукрепляющие</w:t>
      </w:r>
      <w:proofErr w:type="spellEnd"/>
      <w:r>
        <w:t xml:space="preserve"> и иные </w:t>
      </w:r>
      <w:proofErr w:type="spellStart"/>
      <w:r>
        <w:t>берегоукрепляющие</w:t>
      </w:r>
      <w:proofErr w:type="spellEnd"/>
      <w:r>
        <w:t xml:space="preserve"> сооружения);</w:t>
      </w:r>
    </w:p>
    <w:p w:rsidR="007D4BA9" w:rsidRDefault="007D4BA9">
      <w:pPr>
        <w:pStyle w:val="ConsPlusNormal"/>
        <w:spacing w:before="220"/>
        <w:ind w:firstLine="540"/>
        <w:jc w:val="both"/>
      </w:pPr>
      <w:r>
        <w:t>4) сооружения для защиты от подтопления (территориальные и локальные дренажные системы, противофильтрационные устройства, гидроизоляция, вертикальная планировка);</w:t>
      </w:r>
    </w:p>
    <w:p w:rsidR="007D4BA9" w:rsidRDefault="007D4BA9">
      <w:pPr>
        <w:pStyle w:val="ConsPlusNormal"/>
        <w:spacing w:before="220"/>
        <w:ind w:firstLine="540"/>
        <w:jc w:val="both"/>
      </w:pPr>
      <w:r>
        <w:t>5) сооружения для защиты от затопления (дамбы, в том числе дамбы обвалования, ливнеотводы, ливнеспуски, дренажные системы).</w:t>
      </w:r>
    </w:p>
    <w:p w:rsidR="007D4BA9" w:rsidRDefault="007D4BA9">
      <w:pPr>
        <w:pStyle w:val="ConsPlusNormal"/>
        <w:spacing w:before="220"/>
        <w:ind w:firstLine="540"/>
        <w:jc w:val="both"/>
      </w:pPr>
      <w:r>
        <w:t xml:space="preserve">334. Определение требуемых параметров </w:t>
      </w:r>
      <w:proofErr w:type="spellStart"/>
      <w:r>
        <w:t>противокарстовых</w:t>
      </w:r>
      <w:proofErr w:type="spellEnd"/>
      <w:r>
        <w:t xml:space="preserve"> сооружений, их конструкции и мероприятия следует осуществлять согласно республиканским </w:t>
      </w:r>
      <w:hyperlink r:id="rId104">
        <w:r>
          <w:rPr>
            <w:color w:val="0000FF"/>
          </w:rPr>
          <w:t>нормативам</w:t>
        </w:r>
      </w:hyperlink>
      <w:r>
        <w:t xml:space="preserve"> градостроительного проектирования Республики Татарстан и </w:t>
      </w:r>
      <w:hyperlink r:id="rId105">
        <w:r>
          <w:rPr>
            <w:color w:val="0000FF"/>
          </w:rPr>
          <w:t>СП 116.13330.2012</w:t>
        </w:r>
      </w:hyperlink>
      <w:r>
        <w:t>.</w:t>
      </w:r>
    </w:p>
    <w:p w:rsidR="007D4BA9" w:rsidRDefault="007D4BA9">
      <w:pPr>
        <w:pStyle w:val="ConsPlusNormal"/>
        <w:spacing w:before="220"/>
        <w:ind w:firstLine="540"/>
        <w:jc w:val="both"/>
      </w:pPr>
      <w:r>
        <w:t xml:space="preserve">335. Определение требуемых параметров берегозащитных сооружений и их конструкций осуществляют согласно республиканским </w:t>
      </w:r>
      <w:hyperlink r:id="rId106">
        <w:r>
          <w:rPr>
            <w:color w:val="0000FF"/>
          </w:rPr>
          <w:t>нормативам</w:t>
        </w:r>
      </w:hyperlink>
      <w:r>
        <w:t xml:space="preserve"> градостроительного проектирования Республики Татарстан и </w:t>
      </w:r>
      <w:hyperlink r:id="rId107">
        <w:r>
          <w:rPr>
            <w:color w:val="0000FF"/>
          </w:rPr>
          <w:t>СП 116.13330.2012</w:t>
        </w:r>
      </w:hyperlink>
      <w:r>
        <w:t>.</w:t>
      </w:r>
    </w:p>
    <w:p w:rsidR="007D4BA9" w:rsidRDefault="007D4BA9">
      <w:pPr>
        <w:pStyle w:val="ConsPlusNormal"/>
        <w:jc w:val="both"/>
      </w:pPr>
    </w:p>
    <w:p w:rsidR="007D4BA9" w:rsidRDefault="007D4BA9">
      <w:pPr>
        <w:pStyle w:val="ConsPlusTitle"/>
        <w:jc w:val="center"/>
        <w:outlineLvl w:val="2"/>
      </w:pPr>
      <w:r>
        <w:t>Глава 47. СООРУЖЕНИЯ И МЕРОПРИЯТИЯ ДЛЯ ЗАЩИТЫ ОТ ПОДТОПЛЕНИЯ</w:t>
      </w:r>
    </w:p>
    <w:p w:rsidR="007D4BA9" w:rsidRDefault="007D4BA9">
      <w:pPr>
        <w:pStyle w:val="ConsPlusNormal"/>
        <w:jc w:val="both"/>
      </w:pPr>
    </w:p>
    <w:p w:rsidR="007D4BA9" w:rsidRDefault="007D4BA9">
      <w:pPr>
        <w:pStyle w:val="ConsPlusNormal"/>
        <w:ind w:firstLine="540"/>
        <w:jc w:val="both"/>
      </w:pPr>
      <w:r>
        <w:t xml:space="preserve">336. Комплекс мероприятий и инженерных сооружений по защите от подтопления должен обеспечивать как локальную защиту зданий, сооружений, грунтов оснований, так и (при необходимости) защиту всей территории города </w:t>
      </w:r>
      <w:r w:rsidR="000B30E9">
        <w:t>Нижнекамск</w:t>
      </w:r>
      <w:r>
        <w:t xml:space="preserve"> в целом. При использовании в качестве защитных мероприятий дренажей и организации поверхностного стока в комплекс </w:t>
      </w:r>
      <w:r>
        <w:lastRenderedPageBreak/>
        <w:t xml:space="preserve">защитных сооружений необходимо включать системы водоотведения и утилизации (при необходимости очистки) дренажных вод. В состав мероприятий по инженерной защите от подтопления должен быть включен мониторинг режима подземных и поверхностных вод, расходов (утечек) и напоров в </w:t>
      </w:r>
      <w:proofErr w:type="spellStart"/>
      <w:r>
        <w:t>водонесущих</w:t>
      </w:r>
      <w:proofErr w:type="spellEnd"/>
      <w:r>
        <w:t xml:space="preserve"> коммуникациях, деформаций оснований, зданий и сооружений, а также наблюдения за работой сооружений инженерной защиты.</w:t>
      </w:r>
    </w:p>
    <w:p w:rsidR="007D4BA9" w:rsidRDefault="007D4BA9">
      <w:pPr>
        <w:pStyle w:val="ConsPlusNormal"/>
        <w:spacing w:before="220"/>
        <w:ind w:firstLine="540"/>
        <w:jc w:val="both"/>
      </w:pPr>
      <w:r>
        <w:t>337. Нормы осушения (нормируемые минимальные глубины залегания уровня подземных вод от поверхности земли) при проектировании защиты от подтопления территории принимают в зависимости от характера ее функционального использования.</w:t>
      </w:r>
    </w:p>
    <w:p w:rsidR="007D4BA9" w:rsidRDefault="007D4BA9">
      <w:pPr>
        <w:pStyle w:val="ConsPlusNormal"/>
        <w:spacing w:before="220"/>
        <w:ind w:firstLine="540"/>
        <w:jc w:val="both"/>
      </w:pPr>
      <w:r>
        <w:t>338. Для территорий спортивно-оздоровительных объектов и территорий рекреационного и защитного назначения (зеленые насаждения общего пользования, парки, санитарно-защитные зоны) норму осушения принимают равной 1 м.</w:t>
      </w:r>
    </w:p>
    <w:p w:rsidR="007D4BA9" w:rsidRDefault="007D4BA9">
      <w:pPr>
        <w:pStyle w:val="ConsPlusNormal"/>
        <w:spacing w:before="220"/>
        <w:ind w:firstLine="540"/>
        <w:jc w:val="both"/>
      </w:pPr>
      <w:r>
        <w:t>339. Для существующих промышленных, жилых и общественно-деловых территорий нормы осушения устанавливают в зависимости от исторически сложившейся глубины использования подземного пространства, а также вида грунтов основания. Проектирование в пределах таких территорий зданий и сооружений, заглубление подземных частей которых превышает исторически сложившуюся глубину использования подземного пространства, не требует увеличения нормы осушения. При проектировании таких зданий и сооружений должна быть предусмотрена локальная защита в виде гидроизоляции их подземных частей.</w:t>
      </w:r>
    </w:p>
    <w:p w:rsidR="007D4BA9" w:rsidRDefault="007D4BA9">
      <w:pPr>
        <w:pStyle w:val="ConsPlusNormal"/>
        <w:spacing w:before="220"/>
        <w:ind w:firstLine="540"/>
        <w:jc w:val="both"/>
      </w:pPr>
      <w:r>
        <w:t>340. Для вновь застраиваемых территорий нормы осушения устанавливают в зависимости от проектной глубины использования подземного пространства, а также вида грунтов основания. При значительном заглублении подземных частей проектируемых зданий и сооружений относительно сложившегося положения уровней подземных вод целесообразно при минимальной прогнозной глубине их залегания не менее 2 м сохранение этого положения с осуществлением локальной защиты зданий и сооружений путем гидроизоляции их подземных частей. Норму осушения при этом принимают равной 2 м.</w:t>
      </w:r>
    </w:p>
    <w:p w:rsidR="007D4BA9" w:rsidRDefault="007D4BA9">
      <w:pPr>
        <w:pStyle w:val="ConsPlusNormal"/>
        <w:spacing w:before="220"/>
        <w:ind w:firstLine="540"/>
        <w:jc w:val="both"/>
      </w:pPr>
      <w:r>
        <w:t>341. Исходный уровень подземных вод, необходимый для принятия решений о целесообразности выполнения защитных мероприятий и обоснования величины понижения уровней подземных вод, принимается на основе данных инженерных изысканий и (или) прогноза с учетом факторов подтопления.</w:t>
      </w:r>
    </w:p>
    <w:p w:rsidR="007D4BA9" w:rsidRDefault="007D4BA9">
      <w:pPr>
        <w:pStyle w:val="ConsPlusNormal"/>
        <w:spacing w:before="220"/>
        <w:ind w:firstLine="540"/>
        <w:jc w:val="both"/>
      </w:pPr>
      <w:r>
        <w:t xml:space="preserve">342. Сооружения и мероприятия по инженерной защите территорий подтопления проектируются в соответствии с </w:t>
      </w:r>
      <w:hyperlink r:id="rId108">
        <w:r>
          <w:rPr>
            <w:color w:val="0000FF"/>
          </w:rPr>
          <w:t>СП 116.13330.2012</w:t>
        </w:r>
      </w:hyperlink>
      <w:r>
        <w:t xml:space="preserve">, </w:t>
      </w:r>
      <w:hyperlink r:id="rId109">
        <w:r>
          <w:rPr>
            <w:color w:val="0000FF"/>
          </w:rPr>
          <w:t>СП 104.13330.2016</w:t>
        </w:r>
      </w:hyperlink>
      <w:r>
        <w:t>.</w:t>
      </w:r>
    </w:p>
    <w:p w:rsidR="007D4BA9" w:rsidRDefault="007D4BA9">
      <w:pPr>
        <w:pStyle w:val="ConsPlusNormal"/>
        <w:spacing w:before="220"/>
        <w:ind w:firstLine="540"/>
        <w:jc w:val="both"/>
      </w:pPr>
      <w:r>
        <w:t>343. К мероприятиям инженерной защиты территорий подтопления относятся:</w:t>
      </w:r>
    </w:p>
    <w:p w:rsidR="007D4BA9" w:rsidRDefault="007D4BA9">
      <w:pPr>
        <w:pStyle w:val="ConsPlusNormal"/>
        <w:spacing w:before="220"/>
        <w:ind w:firstLine="540"/>
        <w:jc w:val="both"/>
      </w:pPr>
      <w:r>
        <w:t>1) дренажи территориальной системы инженерной защиты от подтопления:</w:t>
      </w:r>
    </w:p>
    <w:p w:rsidR="007D4BA9" w:rsidRDefault="007D4BA9">
      <w:pPr>
        <w:pStyle w:val="ConsPlusNormal"/>
        <w:spacing w:before="220"/>
        <w:ind w:firstLine="540"/>
        <w:jc w:val="both"/>
      </w:pPr>
      <w:r>
        <w:t>- головные - для перехвата подземных вод, фильтрующихся со стороны водораздела; располагают нормально к направлению движения потока подземных вод у верховой границы защищаемой территории;</w:t>
      </w:r>
    </w:p>
    <w:p w:rsidR="007D4BA9" w:rsidRDefault="007D4BA9">
      <w:pPr>
        <w:pStyle w:val="ConsPlusNormal"/>
        <w:spacing w:before="220"/>
        <w:ind w:firstLine="540"/>
        <w:jc w:val="both"/>
      </w:pPr>
      <w:r>
        <w:t>- береговые - для перехвата подземных вод, фильтрующихся со стороны водного объекта и формирующих подпор; располагают вдоль берега или низовой границы защищаемых от подтопления территории или объекта;</w:t>
      </w:r>
    </w:p>
    <w:p w:rsidR="007D4BA9" w:rsidRDefault="007D4BA9">
      <w:pPr>
        <w:pStyle w:val="ConsPlusNormal"/>
        <w:spacing w:before="220"/>
        <w:ind w:firstLine="540"/>
        <w:jc w:val="both"/>
      </w:pPr>
      <w:r>
        <w:t>- отсечные - для перехвата подземных вод, фильтрующихся со стороны подтопленных участков территории;</w:t>
      </w:r>
    </w:p>
    <w:p w:rsidR="007D4BA9" w:rsidRDefault="007D4BA9">
      <w:pPr>
        <w:pStyle w:val="ConsPlusNormal"/>
        <w:spacing w:before="220"/>
        <w:ind w:firstLine="540"/>
        <w:jc w:val="both"/>
      </w:pPr>
      <w:r>
        <w:t xml:space="preserve">- систематические (площадные) - для дренирования территорий в случаях питания подземных вод за счет инфильтрации атмосферных осадков и вод поверхностного стока, утечек из </w:t>
      </w:r>
      <w:proofErr w:type="spellStart"/>
      <w:r>
        <w:t>водонесущих</w:t>
      </w:r>
      <w:proofErr w:type="spellEnd"/>
      <w:r>
        <w:t xml:space="preserve"> коммуникаций или напорных вод из нижележащего горизонта;</w:t>
      </w:r>
    </w:p>
    <w:p w:rsidR="007D4BA9" w:rsidRDefault="007D4BA9">
      <w:pPr>
        <w:pStyle w:val="ConsPlusNormal"/>
        <w:spacing w:before="220"/>
        <w:ind w:firstLine="540"/>
        <w:jc w:val="both"/>
      </w:pPr>
      <w:r>
        <w:lastRenderedPageBreak/>
        <w:t>- смешанные - для защиты от подтопления территорий при сложных условиях питания подземных вод;</w:t>
      </w:r>
    </w:p>
    <w:p w:rsidR="007D4BA9" w:rsidRDefault="007D4BA9">
      <w:pPr>
        <w:pStyle w:val="ConsPlusNormal"/>
        <w:spacing w:before="220"/>
        <w:ind w:firstLine="540"/>
        <w:jc w:val="both"/>
      </w:pPr>
      <w:r>
        <w:t>2) дренажи локальной системы инженерной защиты от подтопления:</w:t>
      </w:r>
    </w:p>
    <w:p w:rsidR="007D4BA9" w:rsidRDefault="007D4BA9">
      <w:pPr>
        <w:pStyle w:val="ConsPlusNormal"/>
        <w:spacing w:before="220"/>
        <w:ind w:firstLine="540"/>
        <w:jc w:val="both"/>
      </w:pPr>
      <w:r>
        <w:t>- кольцевой (контурный) - для перехвата подземных вод при смешанном их питании, а также для защиты отдельных объектов или участков территории; располагают за наружным контуром площадок, зданий и сооружений;</w:t>
      </w:r>
    </w:p>
    <w:p w:rsidR="007D4BA9" w:rsidRDefault="007D4BA9">
      <w:pPr>
        <w:pStyle w:val="ConsPlusNormal"/>
        <w:spacing w:before="220"/>
        <w:ind w:firstLine="540"/>
        <w:jc w:val="both"/>
      </w:pPr>
      <w:r>
        <w:t xml:space="preserve">- </w:t>
      </w:r>
      <w:proofErr w:type="spellStart"/>
      <w:r>
        <w:t>пристенный</w:t>
      </w:r>
      <w:proofErr w:type="spellEnd"/>
      <w:r>
        <w:t xml:space="preserve"> - при устройстве непосредственно с наружной стороны защищаемого объекта; может рассматриваться в качестве элемента ограждающих конструкций;</w:t>
      </w:r>
    </w:p>
    <w:p w:rsidR="007D4BA9" w:rsidRDefault="007D4BA9">
      <w:pPr>
        <w:pStyle w:val="ConsPlusNormal"/>
        <w:spacing w:before="220"/>
        <w:ind w:firstLine="540"/>
        <w:jc w:val="both"/>
      </w:pPr>
      <w:r>
        <w:t xml:space="preserve">- пластовый - для защиты заглубленных конструкций и помещений при наличии в их основании достаточного по мощности пласта слабопроницаемых грунтов, а также для перехвата и отвода утечек воды из сооружений с "мокрым" технологическим процессом; располагают непосредственно под зданием и сооружением; пластовый дренаж следует применять независимо от глубины заложения; при устройстве пластового дренажа последний должен сочленяться с </w:t>
      </w:r>
      <w:proofErr w:type="spellStart"/>
      <w:r>
        <w:t>пристенным</w:t>
      </w:r>
      <w:proofErr w:type="spellEnd"/>
      <w:r>
        <w:t>;</w:t>
      </w:r>
    </w:p>
    <w:p w:rsidR="007D4BA9" w:rsidRDefault="007D4BA9">
      <w:pPr>
        <w:pStyle w:val="ConsPlusNormal"/>
        <w:spacing w:before="220"/>
        <w:ind w:firstLine="540"/>
        <w:jc w:val="both"/>
      </w:pPr>
      <w:r>
        <w:t xml:space="preserve">- сопутствующий - для предупреждения обводнения грунтов от утечек </w:t>
      </w:r>
      <w:proofErr w:type="spellStart"/>
      <w:r>
        <w:t>водонесущих</w:t>
      </w:r>
      <w:proofErr w:type="spellEnd"/>
      <w:r>
        <w:t xml:space="preserve"> коммуникаций; располагают в одной траншее с ними;</w:t>
      </w:r>
    </w:p>
    <w:p w:rsidR="007D4BA9" w:rsidRDefault="007D4BA9">
      <w:pPr>
        <w:pStyle w:val="ConsPlusNormal"/>
        <w:spacing w:before="220"/>
        <w:ind w:firstLine="540"/>
        <w:jc w:val="both"/>
      </w:pPr>
      <w:r>
        <w:t>- совмещенный с водостоком - для дренирования верховодки; располагают на трассе водостока;</w:t>
      </w:r>
    </w:p>
    <w:p w:rsidR="007D4BA9" w:rsidRDefault="007D4BA9">
      <w:pPr>
        <w:pStyle w:val="ConsPlusNormal"/>
        <w:spacing w:before="220"/>
        <w:ind w:firstLine="540"/>
        <w:jc w:val="both"/>
      </w:pPr>
      <w:r>
        <w:t>3) противофильтрационные устройства:</w:t>
      </w:r>
    </w:p>
    <w:p w:rsidR="007D4BA9" w:rsidRDefault="007D4BA9">
      <w:pPr>
        <w:pStyle w:val="ConsPlusNormal"/>
        <w:spacing w:before="220"/>
        <w:ind w:firstLine="540"/>
        <w:jc w:val="both"/>
      </w:pPr>
      <w:r>
        <w:t xml:space="preserve">- завесы - для барража подтопления со стороны рек, каналов и водоемов, а также защиты от загрязнения поверхностных и подземных вод и от заболачивания сопредельных территорий; противофильтрационные завесы следует применять при близком залегании </w:t>
      </w:r>
      <w:proofErr w:type="spellStart"/>
      <w:r>
        <w:t>водоупора</w:t>
      </w:r>
      <w:proofErr w:type="spellEnd"/>
      <w:r>
        <w:t>;</w:t>
      </w:r>
    </w:p>
    <w:p w:rsidR="007D4BA9" w:rsidRDefault="007D4BA9">
      <w:pPr>
        <w:pStyle w:val="ConsPlusNormal"/>
        <w:spacing w:before="220"/>
        <w:ind w:firstLine="540"/>
        <w:jc w:val="both"/>
      </w:pPr>
      <w:r>
        <w:t xml:space="preserve">- экраны - для уменьшения питания подземных вод вследствие фильтрации утечек из наземных и подземных резервуаров при отсутствии или глубоком залегании </w:t>
      </w:r>
      <w:proofErr w:type="spellStart"/>
      <w:r>
        <w:t>водоупора</w:t>
      </w:r>
      <w:proofErr w:type="spellEnd"/>
      <w:r>
        <w:t>;</w:t>
      </w:r>
    </w:p>
    <w:p w:rsidR="007D4BA9" w:rsidRDefault="007D4BA9">
      <w:pPr>
        <w:pStyle w:val="ConsPlusNormal"/>
        <w:spacing w:before="220"/>
        <w:ind w:firstLine="540"/>
        <w:jc w:val="both"/>
      </w:pPr>
      <w:r>
        <w:t xml:space="preserve">- гидроизоляция (наружная и внутренняя, горизонтальная и вертикальная). Применяется для защиты подземных частей зданий и сооружений от капиллярного увлажнения и процессов </w:t>
      </w:r>
      <w:proofErr w:type="spellStart"/>
      <w:r>
        <w:t>термовлагопереноса</w:t>
      </w:r>
      <w:proofErr w:type="spellEnd"/>
      <w:r>
        <w:t>, а также при защите от воздействия подземных вод;</w:t>
      </w:r>
    </w:p>
    <w:p w:rsidR="007D4BA9" w:rsidRDefault="007D4BA9">
      <w:pPr>
        <w:pStyle w:val="ConsPlusNormal"/>
        <w:spacing w:before="220"/>
        <w:ind w:firstLine="540"/>
        <w:jc w:val="both"/>
      </w:pPr>
      <w:r>
        <w:t>- ливневая канализация должна являться элементом территориальной инженерной защиты от подтопления и проектироваться в составе общей системы инженерной защиты или отдельно.</w:t>
      </w:r>
    </w:p>
    <w:p w:rsidR="007D4BA9" w:rsidRDefault="007D4BA9">
      <w:pPr>
        <w:pStyle w:val="ConsPlusNormal"/>
        <w:jc w:val="both"/>
      </w:pPr>
    </w:p>
    <w:p w:rsidR="007D4BA9" w:rsidRDefault="007D4BA9">
      <w:pPr>
        <w:pStyle w:val="ConsPlusTitle"/>
        <w:jc w:val="center"/>
        <w:outlineLvl w:val="2"/>
      </w:pPr>
      <w:r>
        <w:t>Глава 48. СООРУЖЕНИЯ ДЛЯ ЗАЩИТЫ ОТ ЗАТОПЛЕНИЯ</w:t>
      </w:r>
    </w:p>
    <w:p w:rsidR="007D4BA9" w:rsidRDefault="007D4BA9">
      <w:pPr>
        <w:pStyle w:val="ConsPlusNormal"/>
        <w:jc w:val="both"/>
      </w:pPr>
    </w:p>
    <w:p w:rsidR="007D4BA9" w:rsidRDefault="007D4BA9">
      <w:pPr>
        <w:pStyle w:val="ConsPlusNormal"/>
        <w:ind w:firstLine="540"/>
        <w:jc w:val="both"/>
      </w:pPr>
      <w:r>
        <w:t>344. При проектировании инженерной защиты от затопления на берегах водотоков и водоемов в качестве расчетного принимают максимальный уровень воды в них с вероятностью превышения в зависимости от класса сооружений инженерной защиты.</w:t>
      </w:r>
    </w:p>
    <w:p w:rsidR="007D4BA9" w:rsidRDefault="007D4BA9">
      <w:pPr>
        <w:pStyle w:val="ConsPlusNormal"/>
        <w:spacing w:before="220"/>
        <w:ind w:firstLine="540"/>
        <w:jc w:val="both"/>
      </w:pPr>
      <w:r>
        <w:t>345. Расчетные параметры затопления территорий определяют на основе инженерно-гидрологических расчетов в зависимости от принимаемых классов сооружений защиты. При этом следует различать затопления: глубоководное (глубина свыше 5 м), среднее (глубина от 2 м до 5 м) и мелководное (глубина покрытия поверхности суши водой до 2 м).</w:t>
      </w:r>
    </w:p>
    <w:p w:rsidR="007D4BA9" w:rsidRDefault="007D4BA9">
      <w:pPr>
        <w:pStyle w:val="ConsPlusNormal"/>
        <w:spacing w:before="220"/>
        <w:ind w:firstLine="540"/>
        <w:jc w:val="both"/>
      </w:pPr>
      <w:r>
        <w:t xml:space="preserve">346. Территории, расположенные на прибрежных участках, должны быть защищены от затопления паводковыми водами, ветровым нагоном воды, от подтопления грунтовыми водами - подсыпкой (намывом) или обвалованием. Отметку бровки подсыпанной территории принимают не менее чем на 0,5 м выше расчетного горизонта высоких вод с учетом высоты волны при ветровом </w:t>
      </w:r>
      <w:r>
        <w:lastRenderedPageBreak/>
        <w:t xml:space="preserve">нагоне. Превышение гребня дамбы обвалования над расчетным уровнем устанавливают в зависимости от класса сооружений согласно </w:t>
      </w:r>
      <w:hyperlink r:id="rId110">
        <w:r>
          <w:rPr>
            <w:color w:val="0000FF"/>
          </w:rPr>
          <w:t>СП 39.13330.2012</w:t>
        </w:r>
      </w:hyperlink>
      <w:r>
        <w:t xml:space="preserve"> и </w:t>
      </w:r>
      <w:hyperlink r:id="rId111">
        <w:r>
          <w:rPr>
            <w:color w:val="0000FF"/>
          </w:rPr>
          <w:t>СП 58.13330.2019</w:t>
        </w:r>
      </w:hyperlink>
      <w:r>
        <w:t>.</w:t>
      </w:r>
    </w:p>
    <w:p w:rsidR="007D4BA9" w:rsidRDefault="007D4BA9">
      <w:pPr>
        <w:pStyle w:val="ConsPlusNormal"/>
        <w:spacing w:before="220"/>
        <w:ind w:firstLine="540"/>
        <w:jc w:val="both"/>
      </w:pPr>
      <w:r>
        <w:t>347. При защите территории от затопления повышением поверхности территории подсыпкой или намывом грунта отметку подсыпаемой территории со стороны водного объекта принимают так же, как для гребня дамб обвалования.</w:t>
      </w:r>
    </w:p>
    <w:p w:rsidR="007D4BA9" w:rsidRDefault="007D4BA9">
      <w:pPr>
        <w:pStyle w:val="ConsPlusNormal"/>
        <w:spacing w:before="220"/>
        <w:ind w:firstLine="540"/>
        <w:jc w:val="both"/>
      </w:pPr>
      <w:r>
        <w:t>348. За расчетный горизонт высоких вод принимают отметку наивысшего уровня воды повторяемостью: один раз в 100 лет - для территорий, застроенных или подлежащих застройке жилыми и общественными зданиями; один раз в 10 лет - для территорий парков и плоскостных спортивных сооружений.</w:t>
      </w:r>
    </w:p>
    <w:p w:rsidR="007D4BA9" w:rsidRDefault="007D4BA9">
      <w:pPr>
        <w:pStyle w:val="ConsPlusNormal"/>
        <w:spacing w:before="220"/>
        <w:ind w:firstLine="540"/>
        <w:jc w:val="both"/>
      </w:pPr>
      <w:r>
        <w:t xml:space="preserve">349. Сооружения и мероприятия по инженерной защите территорий затопления проектируются в соответствии с </w:t>
      </w:r>
      <w:hyperlink r:id="rId112">
        <w:r>
          <w:rPr>
            <w:color w:val="0000FF"/>
          </w:rPr>
          <w:t>СП 116.13330.2012</w:t>
        </w:r>
      </w:hyperlink>
      <w:r>
        <w:t xml:space="preserve">, </w:t>
      </w:r>
      <w:hyperlink r:id="rId113">
        <w:r>
          <w:rPr>
            <w:color w:val="0000FF"/>
          </w:rPr>
          <w:t>СП 104.13330.2016</w:t>
        </w:r>
      </w:hyperlink>
      <w:r>
        <w:t>.</w:t>
      </w:r>
    </w:p>
    <w:p w:rsidR="007D4BA9" w:rsidRDefault="007D4BA9">
      <w:pPr>
        <w:pStyle w:val="ConsPlusNormal"/>
        <w:spacing w:before="220"/>
        <w:ind w:firstLine="540"/>
        <w:jc w:val="both"/>
      </w:pPr>
      <w:r>
        <w:t>350. На застроенных территориях должна быть предусмотрена дождевая канализация закрытого типа.</w:t>
      </w:r>
    </w:p>
    <w:p w:rsidR="007D4BA9" w:rsidRDefault="007D4BA9">
      <w:pPr>
        <w:pStyle w:val="ConsPlusNormal"/>
        <w:spacing w:before="220"/>
        <w:ind w:firstLine="540"/>
        <w:jc w:val="both"/>
      </w:pPr>
      <w:r>
        <w:t>351. К мероприятиям инженерной защиты территорий затопления относятся:</w:t>
      </w:r>
    </w:p>
    <w:p w:rsidR="007D4BA9" w:rsidRDefault="007D4BA9">
      <w:pPr>
        <w:pStyle w:val="ConsPlusNormal"/>
        <w:spacing w:before="220"/>
        <w:ind w:firstLine="540"/>
        <w:jc w:val="both"/>
      </w:pPr>
      <w:r>
        <w:t>1) защита территории ограждающими дамбами;</w:t>
      </w:r>
    </w:p>
    <w:p w:rsidR="007D4BA9" w:rsidRDefault="007D4BA9">
      <w:pPr>
        <w:pStyle w:val="ConsPlusNormal"/>
        <w:spacing w:before="220"/>
        <w:ind w:firstLine="540"/>
        <w:jc w:val="both"/>
      </w:pPr>
      <w:r>
        <w:t>2) искусственное повышение поверхности территории;</w:t>
      </w:r>
    </w:p>
    <w:p w:rsidR="007D4BA9" w:rsidRDefault="007D4BA9">
      <w:pPr>
        <w:pStyle w:val="ConsPlusNormal"/>
        <w:spacing w:before="220"/>
        <w:ind w:firstLine="540"/>
        <w:jc w:val="both"/>
      </w:pPr>
      <w:r>
        <w:t>3) подсыпка;</w:t>
      </w:r>
    </w:p>
    <w:p w:rsidR="007D4BA9" w:rsidRDefault="007D4BA9">
      <w:pPr>
        <w:pStyle w:val="ConsPlusNormal"/>
        <w:spacing w:before="220"/>
        <w:ind w:firstLine="540"/>
        <w:jc w:val="both"/>
      </w:pPr>
      <w:r>
        <w:t xml:space="preserve">4) </w:t>
      </w:r>
      <w:proofErr w:type="spellStart"/>
      <w:r>
        <w:t>руслорегулирующие</w:t>
      </w:r>
      <w:proofErr w:type="spellEnd"/>
      <w:r>
        <w:t xml:space="preserve"> сооружения.</w:t>
      </w:r>
    </w:p>
    <w:p w:rsidR="007D4BA9" w:rsidRDefault="007D4BA9">
      <w:pPr>
        <w:pStyle w:val="ConsPlusNormal"/>
        <w:jc w:val="both"/>
      </w:pPr>
    </w:p>
    <w:p w:rsidR="007D4BA9" w:rsidRDefault="007D4BA9">
      <w:pPr>
        <w:pStyle w:val="ConsPlusNormal"/>
        <w:jc w:val="both"/>
      </w:pPr>
    </w:p>
    <w:p w:rsidR="007D4BA9" w:rsidRDefault="007D4BA9">
      <w:pPr>
        <w:pStyle w:val="ConsPlusNormal"/>
        <w:pBdr>
          <w:bottom w:val="single" w:sz="6" w:space="0" w:color="auto"/>
        </w:pBdr>
        <w:spacing w:before="100" w:after="100"/>
        <w:jc w:val="both"/>
        <w:rPr>
          <w:sz w:val="2"/>
          <w:szCs w:val="2"/>
        </w:rPr>
      </w:pPr>
    </w:p>
    <w:p w:rsidR="000E036F" w:rsidRDefault="000E036F"/>
    <w:sectPr w:rsidR="000E036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A9"/>
    <w:rsid w:val="000B30E9"/>
    <w:rsid w:val="000E036F"/>
    <w:rsid w:val="005B053E"/>
    <w:rsid w:val="005F2CD8"/>
    <w:rsid w:val="00693957"/>
    <w:rsid w:val="007C5BC7"/>
    <w:rsid w:val="007D4BA9"/>
    <w:rsid w:val="0099771D"/>
    <w:rsid w:val="009A195B"/>
    <w:rsid w:val="00C2309D"/>
    <w:rsid w:val="00CA5870"/>
    <w:rsid w:val="00D83A00"/>
    <w:rsid w:val="00DA1B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74270"/>
  <w15:chartTrackingRefBased/>
  <w15:docId w15:val="{2B94D454-9511-4920-8E53-9EC0D76A5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4BA9"/>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D4BA9"/>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7F25B92B53168BCC065E35369603D69E38B240BDE6C7141B5C6C12882B81D2B0F897C1A5A0D208762EDE193j5VBL" TargetMode="External"/><Relationship Id="rId21" Type="http://schemas.openxmlformats.org/officeDocument/2006/relationships/hyperlink" Target="consultantplus://offline/ref=B7F25B92B53168BCC065E35369603D69E38B240EDF6C7141B5C6C12882B81D2B0F897C1A5A0D208762EDE193j5VBL" TargetMode="External"/><Relationship Id="rId42" Type="http://schemas.openxmlformats.org/officeDocument/2006/relationships/hyperlink" Target="consultantplus://offline/ref=B7F25B92B53168BCC065E35369603D69E38B240EDF6C7141B5C6C12882B81D2B0F897C1A5A0D208762EDE193j5VBL" TargetMode="External"/><Relationship Id="rId47" Type="http://schemas.openxmlformats.org/officeDocument/2006/relationships/hyperlink" Target="consultantplus://offline/ref=B7F25B92B53168BCC065E35369603D69E38A2008DA6C7141B5C6C12882B81D2B0F897C1A5A0D208762EDE193j5VBL" TargetMode="External"/><Relationship Id="rId63" Type="http://schemas.openxmlformats.org/officeDocument/2006/relationships/image" Target="media/image1.png"/><Relationship Id="rId68" Type="http://schemas.openxmlformats.org/officeDocument/2006/relationships/hyperlink" Target="consultantplus://offline/ref=B7F25B92B53168BCC065E35369603D69E38A200ED16C7141B5C6C12882B81D2B0F897C1A5A0D208762EDE193j5VBL" TargetMode="External"/><Relationship Id="rId84" Type="http://schemas.openxmlformats.org/officeDocument/2006/relationships/hyperlink" Target="consultantplus://offline/ref=C2734F95C26D68C1D809CA3C31987A8F41473AE963CA708B30CDBBA76F91FDE93E87F21657D98619CBE4CB57F2k9VBL" TargetMode="External"/><Relationship Id="rId89" Type="http://schemas.openxmlformats.org/officeDocument/2006/relationships/hyperlink" Target="consultantplus://offline/ref=C2734F95C26D68C1D809D52934987A8F474B34E860C12D813894B7A5689EA2EC2B96AA1954C69810DCF8C955kFV3L" TargetMode="External"/><Relationship Id="rId112" Type="http://schemas.openxmlformats.org/officeDocument/2006/relationships/hyperlink" Target="consultantplus://offline/ref=C2734F95C26D68C1D809D52934987A8F474537EA62C12D813894B7A5689EA2EC2B96AA1954C69810DCF8C955kFV3L" TargetMode="External"/><Relationship Id="rId16" Type="http://schemas.openxmlformats.org/officeDocument/2006/relationships/hyperlink" Target="consultantplus://offline/ref=B7F25B92B53168BCC065E24B7A0C6062E2897B04DB632F18E3C09677D2BE48794FD7255B1F1E218E7CEFE199536FF84A0A2B2520AEAFDC3FDCAF00j7V5L" TargetMode="External"/><Relationship Id="rId107" Type="http://schemas.openxmlformats.org/officeDocument/2006/relationships/hyperlink" Target="consultantplus://offline/ref=C2734F95C26D68C1D809D52934987A8F474537EA62C12D813894B7A5689EA2EC2B96AA1954C69810DCF8C955kFV3L" TargetMode="External"/><Relationship Id="rId11" Type="http://schemas.openxmlformats.org/officeDocument/2006/relationships/hyperlink" Target="consultantplus://offline/ref=B7F25B92B53168BCC065E24B7A0C6062E2897B04DB632F18E3C09677D2BE48794FD7255B1F1E218E7CEFE199536FF84A0A2B2520AEAFDC3FDCAF00j7V5L" TargetMode="External"/><Relationship Id="rId32" Type="http://schemas.openxmlformats.org/officeDocument/2006/relationships/hyperlink" Target="consultantplus://offline/ref=B7F25B92B53168BCC065FC466C603D69E5812209D0632C4BBD9FCD2A85B7422E1A98241559123E8E75F1E3915Aj3V8L" TargetMode="External"/><Relationship Id="rId37" Type="http://schemas.openxmlformats.org/officeDocument/2006/relationships/hyperlink" Target="consultantplus://offline/ref=B7F25B92B53168BCC065FC466C603D69E5822C0EDA622C4BBD9FCD2A85B7422E1A98241559123E8E75F1E3915Aj3V8L" TargetMode="External"/><Relationship Id="rId53" Type="http://schemas.openxmlformats.org/officeDocument/2006/relationships/hyperlink" Target="consultantplus://offline/ref=B7F25B92B53168BCC065FC466C603D69E586250ADE612C4BBD9FCD2A85B7422E1A98241559123E8E75F1E3915Aj3V8L" TargetMode="External"/><Relationship Id="rId58" Type="http://schemas.openxmlformats.org/officeDocument/2006/relationships/hyperlink" Target="consultantplus://offline/ref=B7F25B92B53168BCC065E35369603D69E38A2008DA6C7141B5C6C12882B81D2B0F897C1A5A0D208762EDE193j5VBL" TargetMode="External"/><Relationship Id="rId74" Type="http://schemas.openxmlformats.org/officeDocument/2006/relationships/hyperlink" Target="consultantplus://offline/ref=C2734F95C26D68C1D809D43127F4278446486CE061CD7CDF6E9BBDF030C1FBBC6CC7AC4F169C9518C3F3CC5EF593F28B3430A56210B5C29F21FAFDEEkBV1L" TargetMode="External"/><Relationship Id="rId79" Type="http://schemas.openxmlformats.org/officeDocument/2006/relationships/hyperlink" Target="consultantplus://offline/ref=C2734F95C26D68C1D809CA3C31987A8F414233E865CE708B30CDBBA76F91FDE92C87AA1A55D89818C0F19D06B4CDABD8717BA8690FA9C294k3VCL" TargetMode="External"/><Relationship Id="rId102" Type="http://schemas.openxmlformats.org/officeDocument/2006/relationships/hyperlink" Target="consultantplus://offline/ref=C2734F95C26D68C1D809CA3C31987A8F414035ED69CE708B30CDBBA76F91FDE93E87F21657D98619CBE4CB57F2k9VBL" TargetMode="External"/><Relationship Id="rId5" Type="http://schemas.openxmlformats.org/officeDocument/2006/relationships/hyperlink" Target="consultantplus://offline/ref=B7F25B92B53168BCC065FC466C603D69E5812209D0632C4BBD9FCD2A85B7422E08987C195B1228887BE4B5C01C6EA40C5E382728AEADD523jDVDL" TargetMode="External"/><Relationship Id="rId90" Type="http://schemas.openxmlformats.org/officeDocument/2006/relationships/hyperlink" Target="consultantplus://offline/ref=C2734F95C26D68C1D809D52934987A8F474B35E964C12D813894B7A5689EA2EC2B96AA1954C69810DCF8C955kFV3L" TargetMode="External"/><Relationship Id="rId95" Type="http://schemas.openxmlformats.org/officeDocument/2006/relationships/hyperlink" Target="consultantplus://offline/ref=C2734F95C26D68C1D809C32536987A8F424732EF67CA708B30CDBBA76F91FDE93E87F21657D98619CBE4CB57F2k9VBL" TargetMode="External"/><Relationship Id="rId22" Type="http://schemas.openxmlformats.org/officeDocument/2006/relationships/hyperlink" Target="consultantplus://offline/ref=B7F25B92B53168BCC065E24B7A0C6062E2897B04D861211EE6C8CB7DDAE7447B48D87A4C18572D8F7CEFE1905C30FD5F1B732A23B1B1D528C0AD0274jCV2L" TargetMode="External"/><Relationship Id="rId27" Type="http://schemas.openxmlformats.org/officeDocument/2006/relationships/hyperlink" Target="consultantplus://offline/ref=B7F25B92B53168BCC065FC466C603D69E583240CDC632C4BBD9FCD2A85B7422E08987C195B13208F7EE4B5C01C6EA40C5E382728AEADD523jDVDL" TargetMode="External"/><Relationship Id="rId43" Type="http://schemas.openxmlformats.org/officeDocument/2006/relationships/hyperlink" Target="consultantplus://offline/ref=B7F25B92B53168BCC065E35369603D69E38B240EDF6C7141B5C6C12882B81D2B0F897C1A5A0D208762EDE193j5VBL" TargetMode="External"/><Relationship Id="rId48" Type="http://schemas.openxmlformats.org/officeDocument/2006/relationships/hyperlink" Target="consultantplus://offline/ref=B7F25B92B53168BCC065E24B7A0C6062E2897B04D8602715E6CFCB7DDAE7447B48D87A4C18572D8F7AEDE7995830FD5F1B732A23B1B1D528C0AD0274jCV2L" TargetMode="External"/><Relationship Id="rId64" Type="http://schemas.openxmlformats.org/officeDocument/2006/relationships/image" Target="media/image2.png"/><Relationship Id="rId69" Type="http://schemas.openxmlformats.org/officeDocument/2006/relationships/hyperlink" Target="consultantplus://offline/ref=C2734F95C26D68C1D809CA3C31987A8F41423BE460CB708B30CDBBA76F91FDE92C87AA1A55D89819C0F19D06B4CDABD8717BA8690FA9C294k3VCL" TargetMode="External"/><Relationship Id="rId113" Type="http://schemas.openxmlformats.org/officeDocument/2006/relationships/hyperlink" Target="consultantplus://offline/ref=C2734F95C26D68C1D809D52934987A8F474432EF69C12D813894B7A5689EA2EC2B96AA1954C69810DCF8C955kFV3L" TargetMode="External"/><Relationship Id="rId80" Type="http://schemas.openxmlformats.org/officeDocument/2006/relationships/hyperlink" Target="consultantplus://offline/ref=C2734F95C26D68C1D809CA3C31987A8F41433BEA63CF708B30CDBBA76F91FDE93E87F21657D98619CBE4CB57F2k9VBL" TargetMode="External"/><Relationship Id="rId85" Type="http://schemas.openxmlformats.org/officeDocument/2006/relationships/hyperlink" Target="consultantplus://offline/ref=C2734F95C26D68C1D809CA3C31987A8F414733EA60CD708B30CDBBA76F91FDE92C87AA1A55D8991AC5F19D06B4CDABD8717BA8690FA9C294k3VCL" TargetMode="External"/><Relationship Id="rId12" Type="http://schemas.openxmlformats.org/officeDocument/2006/relationships/hyperlink" Target="consultantplus://offline/ref=B7F25B92B53168BCC065E24B7A0C6062E2897B04D861211EE6C8CB7DDAE7447B48D87A4C18572D8F7CEFE1905C30FD5F1B732A23B1B1D528C0AD0274jCV2L" TargetMode="External"/><Relationship Id="rId17" Type="http://schemas.openxmlformats.org/officeDocument/2006/relationships/hyperlink" Target="consultantplus://offline/ref=B7F25B92B53168BCC065E24B7A0C6062E2897B04DB632F18E3C09677D2BE48794FD7255B1F1E218E7CEFE199536FF84A0A2B2520AEAFDC3FDCAF00j7V5L" TargetMode="External"/><Relationship Id="rId33" Type="http://schemas.openxmlformats.org/officeDocument/2006/relationships/hyperlink" Target="consultantplus://offline/ref=B7F25B92B53168BCC065E24B7A0C6062E2897B04D861211EE6C8CB7DDAE7447B48D87A4C18572D8F7CEFE1905C30FD5F1B732A23B1B1D528C0AD0274jCV2L" TargetMode="External"/><Relationship Id="rId38" Type="http://schemas.openxmlformats.org/officeDocument/2006/relationships/hyperlink" Target="consultantplus://offline/ref=B7F25B92B53168BCC065FC466C603D69E5822C0EDA622C4BBD9FCD2A85B7422E08987C195B13208A7DE4B5C01C6EA40C5E382728AEADD523jDVDL" TargetMode="External"/><Relationship Id="rId59" Type="http://schemas.openxmlformats.org/officeDocument/2006/relationships/hyperlink" Target="consultantplus://offline/ref=B7F25B92B53168BCC065E35369603D69E38A2008DA6C7141B5C6C12882B81D2B0F897C1A5A0D208762EDE193j5VBL" TargetMode="External"/><Relationship Id="rId103" Type="http://schemas.openxmlformats.org/officeDocument/2006/relationships/hyperlink" Target="consultantplus://offline/ref=C2734F95C26D68C1D809D52934987A8F474236EC61C12D813894B7A5689EA2EC2B96AA1954C69810DCF8C955kFV3L" TargetMode="External"/><Relationship Id="rId108" Type="http://schemas.openxmlformats.org/officeDocument/2006/relationships/hyperlink" Target="consultantplus://offline/ref=C2734F95C26D68C1D809D52934987A8F474537EA62C12D813894B7A5689EA2EC2B96AA1954C69810DCF8C955kFV3L" TargetMode="External"/><Relationship Id="rId54" Type="http://schemas.openxmlformats.org/officeDocument/2006/relationships/hyperlink" Target="consultantplus://offline/ref=B7F25B92B53168BCC065E24B7A0C6062E2897B04D860201FE3C9CB7DDAE7447B48D87A4C18572D8F7DE6E4985D30FD5F1B732A23B1B1D528C0AD0274jCV2L" TargetMode="External"/><Relationship Id="rId70" Type="http://schemas.openxmlformats.org/officeDocument/2006/relationships/hyperlink" Target="consultantplus://offline/ref=C2734F95C26D68C1D809D52934987A8F474A33EA66C12D813894B7A5689EA2EC2B96AA1954C69810DCF8C955kFV3L" TargetMode="External"/><Relationship Id="rId75" Type="http://schemas.openxmlformats.org/officeDocument/2006/relationships/hyperlink" Target="consultantplus://offline/ref=C2734F95C26D68C1D809CA3C31987A8F414631E966CE708B30CDBBA76F91FDE92C87AA1A55D89819C5F19D06B4CDABD8717BA8690FA9C294k3VCL" TargetMode="External"/><Relationship Id="rId91" Type="http://schemas.openxmlformats.org/officeDocument/2006/relationships/hyperlink" Target="consultantplus://offline/ref=C2734F95C26D68C1D809D43127F4278446486CE062CE73D86E92E0FA3898F7BE6BC8F35811D59919C2FAC95FFBCCF79E2568AA610FABCB883DF8FFkEVFL" TargetMode="External"/><Relationship Id="rId96" Type="http://schemas.openxmlformats.org/officeDocument/2006/relationships/hyperlink" Target="consultantplus://offline/ref=C2734F95C26D68C1D809D52934987A8F474A33EF62C12D813894B7A5689EA2EC2B96AA1954C69810DCF8C955kFV3L" TargetMode="External"/><Relationship Id="rId1" Type="http://schemas.openxmlformats.org/officeDocument/2006/relationships/styles" Target="styles.xml"/><Relationship Id="rId6" Type="http://schemas.openxmlformats.org/officeDocument/2006/relationships/hyperlink" Target="consultantplus://offline/ref=B7F25B92B53168BCC065E24B7A0C6062E2897B04D860211FE5CFCB7DDAE7447B48D87A4C0A5775837EEEFF915125AB0E5Dj2V5L" TargetMode="External"/><Relationship Id="rId15" Type="http://schemas.openxmlformats.org/officeDocument/2006/relationships/hyperlink" Target="consultantplus://offline/ref=B7F25B92B53168BCC065E24B7A0C6062E2897B04DB632F18E3C09677D2BE48794FD7255B1F1E218E7CEFE199536FF84A0A2B2520AEAFDC3FDCAF00j7V5L" TargetMode="External"/><Relationship Id="rId23" Type="http://schemas.openxmlformats.org/officeDocument/2006/relationships/hyperlink" Target="consultantplus://offline/ref=B7F25B92B53168BCC065FC466C603D69E5822C0EDA622C4BBD9FCD2A85B7422E08987C195B13208A7DE4B5C01C6EA40C5E382728AEADD523jDVDL" TargetMode="External"/><Relationship Id="rId28" Type="http://schemas.openxmlformats.org/officeDocument/2006/relationships/hyperlink" Target="consultantplus://offline/ref=B7F25B92B53168BCC065E24B7A0C6062E2897B04D861211EE6C8CB7DDAE7447B48D87A4C18572D8F7CEFE1905C30FD5F1B732A23B1B1D528C0AD0274jCV2L" TargetMode="External"/><Relationship Id="rId36" Type="http://schemas.openxmlformats.org/officeDocument/2006/relationships/hyperlink" Target="consultantplus://offline/ref=B7F25B92B53168BCC065FC466C603D69E586250ADF612C4BBD9FCD2A85B7422E1A98241559123E8E75F1E3915Aj3V8L" TargetMode="External"/><Relationship Id="rId49" Type="http://schemas.openxmlformats.org/officeDocument/2006/relationships/hyperlink" Target="consultantplus://offline/ref=B7F25B92B53168BCC065E35369603D69E38B240EDF6C7141B5C6C12882B81D2B0F897C1A5A0D208762EDE193j5VBL" TargetMode="External"/><Relationship Id="rId57" Type="http://schemas.openxmlformats.org/officeDocument/2006/relationships/hyperlink" Target="consultantplus://offline/ref=B7F25B92B53168BCC065E35369603D69E38A2008DA6C7141B5C6C12882B81D2B0F897C1A5A0D208762EDE193j5VBL" TargetMode="External"/><Relationship Id="rId106" Type="http://schemas.openxmlformats.org/officeDocument/2006/relationships/hyperlink" Target="consultantplus://offline/ref=C2734F95C26D68C1D809D43127F4278446486CE061CD7CDF6E9BBDF030C1FBBC6CC7AC4F169C9518C3F3CC5EF593F28B3430A56210B5C29F21FAFDEEkBV1L" TargetMode="External"/><Relationship Id="rId114" Type="http://schemas.openxmlformats.org/officeDocument/2006/relationships/fontTable" Target="fontTable.xml"/><Relationship Id="rId10" Type="http://schemas.openxmlformats.org/officeDocument/2006/relationships/hyperlink" Target="consultantplus://offline/ref=B7F25B92B53168BCC065E24B7A0C6062E2897B04D8602715E6CFCB7DDAE7447B48D87A4C18572D8F7AEDE7995830FD5F1B732A23B1B1D528C0AD0274jCV2L" TargetMode="External"/><Relationship Id="rId31" Type="http://schemas.openxmlformats.org/officeDocument/2006/relationships/hyperlink" Target="consultantplus://offline/ref=B7F25B92B53168BCC065E35369603D69E38A200DD16C7141B5C6C12882B81D2B0F897C1A5A0D208762EDE193j5VBL" TargetMode="External"/><Relationship Id="rId44" Type="http://schemas.openxmlformats.org/officeDocument/2006/relationships/hyperlink" Target="consultantplus://offline/ref=B7F25B92B53168BCC065E35369603D69E38B240EDF6C7141B5C6C12882B81D2B0F897C1A5A0D208762EDE193j5VBL" TargetMode="External"/><Relationship Id="rId52" Type="http://schemas.openxmlformats.org/officeDocument/2006/relationships/hyperlink" Target="consultantplus://offline/ref=B7F25B92B53168BCC065E35369603D69E08222028F3B7310E0C8C420D2E20D2F46DE70065B1A3E8C7CEDjEV2L" TargetMode="External"/><Relationship Id="rId60" Type="http://schemas.openxmlformats.org/officeDocument/2006/relationships/hyperlink" Target="consultantplus://offline/ref=B7F25B92B53168BCC065E35369603D69E08B2701D86C7141B5C6C12882B81D2B0F897C1A5A0D208762EDE193j5VBL" TargetMode="External"/><Relationship Id="rId65" Type="http://schemas.openxmlformats.org/officeDocument/2006/relationships/image" Target="media/image3.png"/><Relationship Id="rId73" Type="http://schemas.openxmlformats.org/officeDocument/2006/relationships/hyperlink" Target="consultantplus://offline/ref=C2734F95C26D68C1D809D52934987A8F474731EF66C12D813894B7A5689EA2EC2B96AA1954C69810DCF8C955kFV3L" TargetMode="External"/><Relationship Id="rId78" Type="http://schemas.openxmlformats.org/officeDocument/2006/relationships/hyperlink" Target="consultantplus://offline/ref=C2734F95C26D68C1D809D43127F4278446486CE062CE73D86E92E0FA3898F7BE6BC8F35811D59919C2FAC95FFBCCF79E2568AA610FABCB883DF8FFkEVFL" TargetMode="External"/><Relationship Id="rId81" Type="http://schemas.openxmlformats.org/officeDocument/2006/relationships/hyperlink" Target="consultantplus://offline/ref=C2734F95C26D68C1D809D43127F4278446486CE061CD7CDF6E9BBDF030C1FBBC6CC7AC4F169C9518C3F3CC5EF593F28B3430A56210B5C29F21FAFDEEkBV1L" TargetMode="External"/><Relationship Id="rId86" Type="http://schemas.openxmlformats.org/officeDocument/2006/relationships/hyperlink" Target="consultantplus://offline/ref=C2734F95C26D68C1D809D52934987A8F474B34E860C12D813894B7A5689EA2EC2B96AA1954C69810DCF8C955kFV3L" TargetMode="External"/><Relationship Id="rId94" Type="http://schemas.openxmlformats.org/officeDocument/2006/relationships/hyperlink" Target="consultantplus://offline/ref=C2734F95C26D68C1D809D43127F4278446486CE062CE73D86E92E0FA3898F7BE6BC8F35811D59919C2FAC95FFBCCF79E2568AA610FABCB883DF8FFkEVFL" TargetMode="External"/><Relationship Id="rId99" Type="http://schemas.openxmlformats.org/officeDocument/2006/relationships/hyperlink" Target="consultantplus://offline/ref=C2734F95C26D68C1D809CA3C31987A8F474635EC60CE708B30CDBBA76F91FDE93E87F21657D98619CBE4CB57F2k9VBL" TargetMode="External"/><Relationship Id="rId101" Type="http://schemas.openxmlformats.org/officeDocument/2006/relationships/hyperlink" Target="consultantplus://offline/ref=C2734F95C26D68C1D809CA3C31987A8F474635EC60CE708B30CDBBA76F91FDE93E87F21657D98619CBE4CB57F2k9VBL" TargetMode="External"/><Relationship Id="rId4" Type="http://schemas.openxmlformats.org/officeDocument/2006/relationships/hyperlink" Target="consultantplus://offline/ref=B7F25B92B53168BCC065FC466C603D69E5872109D9602C4BBD9FCD2A85B7422E08987C1052112BDA2DABB49C5A3AB70E56382521B2jAVCL" TargetMode="External"/><Relationship Id="rId9" Type="http://schemas.openxmlformats.org/officeDocument/2006/relationships/hyperlink" Target="consultantplus://offline/ref=B7F25B92B53168BCC065FC466C603D69E5812209D0632C4BBD9FCD2A85B7422E1A98241559123E8E75F1E3915Aj3V8L" TargetMode="External"/><Relationship Id="rId13" Type="http://schemas.openxmlformats.org/officeDocument/2006/relationships/hyperlink" Target="consultantplus://offline/ref=B7F25B92B53168BCC065E24B7A0C6062E2897B04D8602214E0CCCB7DDAE7447B48D87A4C18572D8F7CEFE1905030FD5F1B732A23B1B1D528C0AD0274jCV2L" TargetMode="External"/><Relationship Id="rId18" Type="http://schemas.openxmlformats.org/officeDocument/2006/relationships/hyperlink" Target="consultantplus://offline/ref=B7F25B92B53168BCC065E35369603D69E38B240EDF6C7141B5C6C12882B81D390FD170185F10248C77BBB0D50D36AB0F41262E3FB2AFD7j2V2L" TargetMode="External"/><Relationship Id="rId39" Type="http://schemas.openxmlformats.org/officeDocument/2006/relationships/hyperlink" Target="consultantplus://offline/ref=B7F25B92B53168BCC065FF5375603D69E987250ED2317B49ECCAC32F8DE7183E1ED17319451329907EEFE3j9V2L" TargetMode="External"/><Relationship Id="rId109" Type="http://schemas.openxmlformats.org/officeDocument/2006/relationships/hyperlink" Target="consultantplus://offline/ref=C2734F95C26D68C1D809D52934987A8F474432EF69C12D813894B7A5689EA2EC2B96AA1954C69810DCF8C955kFV3L" TargetMode="External"/><Relationship Id="rId34" Type="http://schemas.openxmlformats.org/officeDocument/2006/relationships/hyperlink" Target="consultantplus://offline/ref=B7F25B92B53168BCC065E35369603D69E38B240EDF6C7141B5C6C12882B81D2B0F897C1A5A0D208762EDE193j5VBL" TargetMode="External"/><Relationship Id="rId50" Type="http://schemas.openxmlformats.org/officeDocument/2006/relationships/hyperlink" Target="consultantplus://offline/ref=B7F25B92B53168BCC065E35369603D69E38B240EDF6C7141B5C6C12882B81D2B0F897C1A5A0D208762EDE193j5VBL" TargetMode="External"/><Relationship Id="rId55" Type="http://schemas.openxmlformats.org/officeDocument/2006/relationships/hyperlink" Target="consultantplus://offline/ref=B7F25B92B53168BCC065E35369603D69E3842C09DD6C7141B5C6C12882B81D2B0F897C1A5A0D208762EDE193j5VBL" TargetMode="External"/><Relationship Id="rId76" Type="http://schemas.openxmlformats.org/officeDocument/2006/relationships/hyperlink" Target="consultantplus://offline/ref=C2734F95C26D68C1D809CA3C31987A8F41473AE963C9708B30CDBBA76F91FDE92C87AA1A55D1911AC5F19D06B4CDABD8717BA8690FA9C294k3VCL" TargetMode="External"/><Relationship Id="rId97" Type="http://schemas.openxmlformats.org/officeDocument/2006/relationships/hyperlink" Target="consultantplus://offline/ref=C2734F95C26D68C1D809D52934987A8F474B37E860C12D813894B7A5689EA2EC2B96AA1954C69810DCF8C955kFV3L" TargetMode="External"/><Relationship Id="rId104" Type="http://schemas.openxmlformats.org/officeDocument/2006/relationships/hyperlink" Target="consultantplus://offline/ref=C2734F95C26D68C1D809D43127F4278446486CE061CD7CDF6E9BBDF030C1FBBC6CC7AC4F169C9518C3F3CC5EF593F28B3430A56210B5C29F21FAFDEEkBV1L" TargetMode="External"/><Relationship Id="rId7" Type="http://schemas.openxmlformats.org/officeDocument/2006/relationships/hyperlink" Target="consultantplus://offline/ref=B7F25B92B53168BCC065E24B7A0C6062E2897B04D8652519E1CDCB7DDAE7447B48D87A4C18572D8F7CEFE1955830FD5F1B732A23B1B1D528C0AD0274jCV2L" TargetMode="External"/><Relationship Id="rId71" Type="http://schemas.openxmlformats.org/officeDocument/2006/relationships/hyperlink" Target="consultantplus://offline/ref=C2734F95C26D68C1D809D43127F4278446486CE061CD7ED46D9EBDF030C1FBBC6CC7AC4F169C9518C2FAC956F893F28B3430A56210B5C29F21FAFDEEkBV1L" TargetMode="External"/><Relationship Id="rId92" Type="http://schemas.openxmlformats.org/officeDocument/2006/relationships/hyperlink" Target="consultantplus://offline/ref=C2734F95C26D68C1D809D52934987A8F474A33EA66C12D813894B7A5689EA2EC2B96AA1954C69810DCF8C955kFV3L" TargetMode="External"/><Relationship Id="rId2" Type="http://schemas.openxmlformats.org/officeDocument/2006/relationships/settings" Target="settings.xml"/><Relationship Id="rId29" Type="http://schemas.openxmlformats.org/officeDocument/2006/relationships/hyperlink" Target="consultantplus://offline/ref=B7F25B92B53168BCC065FC466C603D69E5832C00D9662C4BBD9FCD2A85B7422E08987C195B13208E7EE4B5C01C6EA40C5E382728AEADD523jDVDL" TargetMode="External"/><Relationship Id="rId24" Type="http://schemas.openxmlformats.org/officeDocument/2006/relationships/hyperlink" Target="consultantplus://offline/ref=B7F25B92B53168BCC065E24B7A0C6062E2897B04DB632F18E3C09677D2BE48794FD7255B1F1E218E7CEFE199536FF84A0A2B2520AEAFDC3FDCAF00j7V5L" TargetMode="External"/><Relationship Id="rId40" Type="http://schemas.openxmlformats.org/officeDocument/2006/relationships/hyperlink" Target="consultantplus://offline/ref=B7F25B92B53168BCC065FC466C603D69E285240CD0632C4BBD9FCD2A85B7422E1A98241559123E8E75F1E3915Aj3V8L" TargetMode="External"/><Relationship Id="rId45" Type="http://schemas.openxmlformats.org/officeDocument/2006/relationships/hyperlink" Target="consultantplus://offline/ref=B7F25B92B53168BCC065E35369603D69E38B240EDF6C7141B5C6C12882B81D2B0F897C1A5A0D208762EDE193j5VBL" TargetMode="External"/><Relationship Id="rId66" Type="http://schemas.openxmlformats.org/officeDocument/2006/relationships/hyperlink" Target="consultantplus://offline/ref=B7F25B92B53168BCC065E35369603D69E38B240BDE6C7141B5C6C12882B81D2B0F897C1A5A0D208762EDE193j5VBL" TargetMode="External"/><Relationship Id="rId87" Type="http://schemas.openxmlformats.org/officeDocument/2006/relationships/hyperlink" Target="consultantplus://offline/ref=C2734F95C26D68C1D809CA3C31987A8F464633EF61C8708B30CDBBA76F91FDE93E87F21657D98619CBE4CB57F2k9VBL" TargetMode="External"/><Relationship Id="rId110" Type="http://schemas.openxmlformats.org/officeDocument/2006/relationships/hyperlink" Target="consultantplus://offline/ref=C2734F95C26D68C1D809D52934987A8F47403AE460C12D813894B7A5689EA2EC2B96AA1954C69810DCF8C955kFV3L" TargetMode="External"/><Relationship Id="rId115" Type="http://schemas.openxmlformats.org/officeDocument/2006/relationships/theme" Target="theme/theme1.xml"/><Relationship Id="rId61" Type="http://schemas.openxmlformats.org/officeDocument/2006/relationships/hyperlink" Target="consultantplus://offline/ref=B7F25B92B53168BCC065E35369603D69E38B240BDE6C7141B5C6C12882B81D2B0F897C1A5A0D208762EDE193j5VBL" TargetMode="External"/><Relationship Id="rId82" Type="http://schemas.openxmlformats.org/officeDocument/2006/relationships/hyperlink" Target="consultantplus://offline/ref=C2734F95C26D68C1D809D52934987A8F474B37E966C12D813894B7A5689EA2EC2B96AA1954C69810DCF8C955kFV3L" TargetMode="External"/><Relationship Id="rId19" Type="http://schemas.openxmlformats.org/officeDocument/2006/relationships/hyperlink" Target="consultantplus://offline/ref=B7F25B92B53168BCC065FC466C603D69E5832C00D9662C4BBD9FCD2A85B7422E08987C195B11228D7AE4B5C01C6EA40C5E382728AEADD523jDVDL" TargetMode="External"/><Relationship Id="rId14" Type="http://schemas.openxmlformats.org/officeDocument/2006/relationships/hyperlink" Target="consultantplus://offline/ref=B7F25B92B53168BCC065E24B7A0C6062E2897B04D8602214E0CCCB7DDAE7447B48D87A4C18572D8F7CEFE1905030FD5F1B732A23B1B1D528C0AD0274jCV2L" TargetMode="External"/><Relationship Id="rId30" Type="http://schemas.openxmlformats.org/officeDocument/2006/relationships/hyperlink" Target="consultantplus://offline/ref=B7F25B92B53168BCC065E35369603D69E38B240EDF6C7141B5C6C12882B81D2B0F897C1A5A0D208762EDE193j5VBL" TargetMode="External"/><Relationship Id="rId35" Type="http://schemas.openxmlformats.org/officeDocument/2006/relationships/hyperlink" Target="consultantplus://offline/ref=B7F25B92B53168BCC065E35369603D69E38B240EDF6C7141B5C6C12882B81D2B0F897C1A5A0D208762EDE193j5VBL" TargetMode="External"/><Relationship Id="rId56" Type="http://schemas.openxmlformats.org/officeDocument/2006/relationships/hyperlink" Target="consultantplus://offline/ref=B7F25B92B53168BCC065E35369603D69E3842C09DD6C7141B5C6C12882B81D2B0F897C1A5A0D208762EDE193j5VBL" TargetMode="External"/><Relationship Id="rId77" Type="http://schemas.openxmlformats.org/officeDocument/2006/relationships/hyperlink" Target="consultantplus://offline/ref=C2734F95C26D68C1D809D43127F4278446486CE061CD7BD56B9DBDF030C1FBBC6CC7AC4F169C9518C4F8CF5FF093F28B3430A56210B5C29F21FAFDEEkBV1L" TargetMode="External"/><Relationship Id="rId100" Type="http://schemas.openxmlformats.org/officeDocument/2006/relationships/hyperlink" Target="consultantplus://offline/ref=C2734F95C26D68C1D809D43127F4278446486CE062CE73D86E92E0FA3898F7BE6BC8F35811D59919C2FAC95FFBCCF79E2568AA610FABCB883DF8FFkEVFL" TargetMode="External"/><Relationship Id="rId105" Type="http://schemas.openxmlformats.org/officeDocument/2006/relationships/hyperlink" Target="consultantplus://offline/ref=C2734F95C26D68C1D809D52934987A8F474537EA62C12D813894B7A5689EA2EC2B96AA1954C69810DCF8C955kFV3L" TargetMode="External"/><Relationship Id="rId8" Type="http://schemas.openxmlformats.org/officeDocument/2006/relationships/hyperlink" Target="consultantplus://offline/ref=B7F25B92B53168BCC065FC466C603D69E5862D01D96E2C4BBD9FCD2A85B7422E08987C195B13208F79E4B5C01C6EA40C5E382728AEADD523jDVDL" TargetMode="External"/><Relationship Id="rId51" Type="http://schemas.openxmlformats.org/officeDocument/2006/relationships/hyperlink" Target="consultantplus://offline/ref=B7F25B92B53168BCC065E35369603D69E38A2008DA6C7141B5C6C12882B81D2B0F897C1A5A0D208762EDE193j5VBL" TargetMode="External"/><Relationship Id="rId72" Type="http://schemas.openxmlformats.org/officeDocument/2006/relationships/hyperlink" Target="consultantplus://offline/ref=C2734F95C26D68C1D809D43127F4278446486CE061CD7CDF6E9BBDF030C1FBBC6CC7AC4F169C9518C3F3CC5EF593F28B3430A56210B5C29F21FAFDEEkBV1L" TargetMode="External"/><Relationship Id="rId93" Type="http://schemas.openxmlformats.org/officeDocument/2006/relationships/hyperlink" Target="consultantplus://offline/ref=C2734F95C26D68C1D809D52934987A8F474B35E964C12D813894B7A5689EA2EC2B96AA1954C69810DCF8C955kFV3L" TargetMode="External"/><Relationship Id="rId98" Type="http://schemas.openxmlformats.org/officeDocument/2006/relationships/hyperlink" Target="consultantplus://offline/ref=C2734F95C26D68C1D809D52934987A8F414733EE6B9C27896198B5A267C1A7F93ACEA51A4BD89107C0FACBk5V4L" TargetMode="External"/><Relationship Id="rId3" Type="http://schemas.openxmlformats.org/officeDocument/2006/relationships/webSettings" Target="webSettings.xml"/><Relationship Id="rId25" Type="http://schemas.openxmlformats.org/officeDocument/2006/relationships/hyperlink" Target="consultantplus://offline/ref=B7F25B92B53168BCC065E35369603D69E38B240BDE6C7141B5C6C12882B81D2B0F897C1A5A0D208762EDE193j5VBL" TargetMode="External"/><Relationship Id="rId46" Type="http://schemas.openxmlformats.org/officeDocument/2006/relationships/hyperlink" Target="consultantplus://offline/ref=B7F25B92B53168BCC065E35369603D69E38B240EDF6C7141B5C6C12882B81D2B0F897C1A5A0D208762EDE193j5VBL" TargetMode="External"/><Relationship Id="rId67" Type="http://schemas.openxmlformats.org/officeDocument/2006/relationships/hyperlink" Target="consultantplus://offline/ref=B7F25B92B53168BCC065E35369603D69E38A200DD16C7141B5C6C12882B81D2B0F897C1A5A0D208762EDE193j5VBL" TargetMode="External"/><Relationship Id="rId20" Type="http://schemas.openxmlformats.org/officeDocument/2006/relationships/hyperlink" Target="consultantplus://offline/ref=B7F25B92B53168BCC065E35369603D69E38B240EDF6C7141B5C6C12882B81D2B0F897C1A5A0D208762EDE193j5VBL" TargetMode="External"/><Relationship Id="rId41" Type="http://schemas.openxmlformats.org/officeDocument/2006/relationships/hyperlink" Target="consultantplus://offline/ref=B7F25B92B53168BCC065E35369603D69E38B240EDF6C7141B5C6C12882B81D2B0F897C1A5A0D208762EDE193j5VBL" TargetMode="External"/><Relationship Id="rId62" Type="http://schemas.openxmlformats.org/officeDocument/2006/relationships/hyperlink" Target="consultantplus://offline/ref=B7F25B92B53168BCC065E35369603D69E38B240EDF6C7141B5C6C12882B81D2B0F897C1A5A0D208762EDE193j5VBL" TargetMode="External"/><Relationship Id="rId83" Type="http://schemas.openxmlformats.org/officeDocument/2006/relationships/hyperlink" Target="consultantplus://offline/ref=C2734F95C26D68C1D809CA3C31987A8F444A32ED64C2708B30CDBBA76F91FDE93E87F21657D98619CBE4CB57F2k9VBL" TargetMode="External"/><Relationship Id="rId88" Type="http://schemas.openxmlformats.org/officeDocument/2006/relationships/hyperlink" Target="consultantplus://offline/ref=C2734F95C26D68C1D809CA3C31987A8F464537EB65CB708B30CDBBA76F91FDE93E87F21657D98619CBE4CB57F2k9VBL" TargetMode="External"/><Relationship Id="rId111" Type="http://schemas.openxmlformats.org/officeDocument/2006/relationships/hyperlink" Target="consultantplus://offline/ref=C2734F95C26D68C1D809D52934987A8F474B35EA60C12D813894B7A5689EA2EC2B96AA1954C69810DCF8C955kFV3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1417</TotalTime>
  <Pages>88</Pages>
  <Words>32941</Words>
  <Characters>187769</Characters>
  <Application>Microsoft Office Word</Application>
  <DocSecurity>0</DocSecurity>
  <Lines>1564</Lines>
  <Paragraphs>440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dc:creator>
  <cp:keywords/>
  <dc:description/>
  <cp:lastModifiedBy>Ruslan</cp:lastModifiedBy>
  <cp:revision>5</cp:revision>
  <dcterms:created xsi:type="dcterms:W3CDTF">2023-09-21T12:55:00Z</dcterms:created>
  <dcterms:modified xsi:type="dcterms:W3CDTF">2023-10-14T05:10:00Z</dcterms:modified>
</cp:coreProperties>
</file>